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0151" w:rsidRPr="00896F53" w:rsidRDefault="00EF6F84">
      <w:pPr>
        <w:rPr>
          <w:rFonts w:cstheme="minorHAnsi"/>
          <w:sz w:val="24"/>
          <w:szCs w:val="24"/>
        </w:rPr>
      </w:pPr>
      <w:r w:rsidRPr="00896F53">
        <w:rPr>
          <w:rFonts w:cstheme="minorHAnsi"/>
          <w:sz w:val="24"/>
          <w:szCs w:val="24"/>
        </w:rPr>
        <w:t xml:space="preserve">In general, the </w:t>
      </w:r>
      <w:r w:rsidRPr="00896F53">
        <w:rPr>
          <w:rFonts w:cstheme="minorHAnsi"/>
          <w:sz w:val="24"/>
          <w:szCs w:val="24"/>
        </w:rPr>
        <w:t>AddressEntrancePoint,</w:t>
      </w:r>
      <w:r w:rsidR="00901831" w:rsidRPr="00896F53">
        <w:rPr>
          <w:rFonts w:cstheme="minorHAnsi"/>
          <w:sz w:val="24"/>
          <w:szCs w:val="24"/>
        </w:rPr>
        <w:t xml:space="preserve"> AddressPoint </w:t>
      </w:r>
      <w:r w:rsidRPr="00896F53">
        <w:rPr>
          <w:rFonts w:cstheme="minorHAnsi"/>
          <w:sz w:val="24"/>
          <w:szCs w:val="24"/>
        </w:rPr>
        <w:t xml:space="preserve">and </w:t>
      </w:r>
      <w:r w:rsidR="00005E41" w:rsidRPr="00896F53">
        <w:rPr>
          <w:rFonts w:cstheme="minorHAnsi"/>
          <w:sz w:val="24"/>
          <w:szCs w:val="24"/>
        </w:rPr>
        <w:t xml:space="preserve">PostalAddress feature classes and tables </w:t>
      </w:r>
      <w:r w:rsidRPr="00896F53">
        <w:rPr>
          <w:rFonts w:cstheme="minorHAnsi"/>
          <w:sz w:val="24"/>
          <w:szCs w:val="24"/>
        </w:rPr>
        <w:t xml:space="preserve">do not conflict with the FGDC standard but do not fully support it.  The </w:t>
      </w:r>
      <w:r w:rsidRPr="00896F53">
        <w:rPr>
          <w:rFonts w:cstheme="minorHAnsi"/>
          <w:sz w:val="24"/>
          <w:szCs w:val="24"/>
        </w:rPr>
        <w:t>AddressEntrancePoint</w:t>
      </w:r>
      <w:r w:rsidRPr="00896F53">
        <w:rPr>
          <w:rFonts w:cstheme="minorHAnsi"/>
          <w:sz w:val="24"/>
          <w:szCs w:val="24"/>
        </w:rPr>
        <w:t xml:space="preserve"> and </w:t>
      </w:r>
      <w:r w:rsidRPr="00896F53">
        <w:rPr>
          <w:rFonts w:cstheme="minorHAnsi"/>
          <w:sz w:val="24"/>
          <w:szCs w:val="24"/>
        </w:rPr>
        <w:t>AddressPoint</w:t>
      </w:r>
      <w:r w:rsidRPr="00896F53">
        <w:rPr>
          <w:rFonts w:cstheme="minorHAnsi"/>
          <w:sz w:val="24"/>
          <w:szCs w:val="24"/>
        </w:rPr>
        <w:t xml:space="preserve"> feature class have concepts that are not compatible with the </w:t>
      </w:r>
      <w:r w:rsidR="00005E41" w:rsidRPr="00896F53">
        <w:rPr>
          <w:rFonts w:cstheme="minorHAnsi"/>
          <w:sz w:val="24"/>
          <w:szCs w:val="24"/>
        </w:rPr>
        <w:t xml:space="preserve">FGDC address standard but may be </w:t>
      </w:r>
      <w:r w:rsidR="00005E41" w:rsidRPr="00896F53">
        <w:rPr>
          <w:rFonts w:cstheme="minorHAnsi"/>
          <w:sz w:val="24"/>
          <w:szCs w:val="24"/>
        </w:rPr>
        <w:t>compatible</w:t>
      </w:r>
      <w:r w:rsidR="00820AE7" w:rsidRPr="00896F53">
        <w:rPr>
          <w:rFonts w:cstheme="minorHAnsi"/>
          <w:sz w:val="24"/>
          <w:szCs w:val="24"/>
        </w:rPr>
        <w:t xml:space="preserve"> with the ISO address standard. A more detailed explanation is given below. </w:t>
      </w:r>
      <w:r w:rsidR="00005E41" w:rsidRPr="00896F53">
        <w:rPr>
          <w:rFonts w:cstheme="minorHAnsi"/>
          <w:sz w:val="24"/>
          <w:szCs w:val="24"/>
        </w:rPr>
        <w:t>The PostalAddress table contains all same elements that FGDC Address Standard Postal classes do with some extra fields like Owner</w:t>
      </w:r>
      <w:r w:rsidR="00820AE7" w:rsidRPr="00896F53">
        <w:rPr>
          <w:rFonts w:cstheme="minorHAnsi"/>
          <w:sz w:val="24"/>
          <w:szCs w:val="24"/>
        </w:rPr>
        <w:t xml:space="preserve"> </w:t>
      </w:r>
      <w:r w:rsidR="00005E41" w:rsidRPr="00896F53">
        <w:rPr>
          <w:rFonts w:cstheme="minorHAnsi"/>
          <w:sz w:val="24"/>
          <w:szCs w:val="24"/>
        </w:rPr>
        <w:t>name that should not cause any difficulty in transforming the data in the table to a FGDC format.</w:t>
      </w:r>
      <w:r w:rsidR="00901831" w:rsidRPr="00896F53">
        <w:rPr>
          <w:rFonts w:cstheme="minorHAnsi"/>
          <w:sz w:val="24"/>
          <w:szCs w:val="24"/>
        </w:rPr>
        <w:t xml:space="preserve"> The SiteAddressPoint table does have some conflicts with the FGDC address standard.</w:t>
      </w:r>
    </w:p>
    <w:p w:rsidR="003327D5" w:rsidRPr="00896F53" w:rsidRDefault="001232C2">
      <w:pPr>
        <w:rPr>
          <w:rFonts w:cstheme="minorHAnsi"/>
          <w:sz w:val="24"/>
          <w:szCs w:val="24"/>
        </w:rPr>
      </w:pPr>
      <w:r w:rsidRPr="00896F53">
        <w:rPr>
          <w:rFonts w:cstheme="minorHAnsi"/>
          <w:sz w:val="24"/>
          <w:szCs w:val="24"/>
        </w:rPr>
        <w:t xml:space="preserve">The AddreesEntrancePoint ESRI </w:t>
      </w:r>
      <w:r w:rsidR="004E36C6" w:rsidRPr="00896F53">
        <w:rPr>
          <w:rFonts w:cstheme="minorHAnsi"/>
          <w:sz w:val="24"/>
          <w:szCs w:val="24"/>
        </w:rPr>
        <w:t xml:space="preserve">feature </w:t>
      </w:r>
      <w:r w:rsidRPr="00896F53">
        <w:rPr>
          <w:rFonts w:cstheme="minorHAnsi"/>
          <w:sz w:val="24"/>
          <w:szCs w:val="24"/>
        </w:rPr>
        <w:t xml:space="preserve">class is currently </w:t>
      </w:r>
      <w:r w:rsidR="00184A2F" w:rsidRPr="00896F53">
        <w:rPr>
          <w:rFonts w:cstheme="minorHAnsi"/>
          <w:sz w:val="24"/>
          <w:szCs w:val="24"/>
        </w:rPr>
        <w:t>not fully</w:t>
      </w:r>
      <w:r w:rsidRPr="00896F53">
        <w:rPr>
          <w:rFonts w:cstheme="minorHAnsi"/>
          <w:sz w:val="24"/>
          <w:szCs w:val="24"/>
        </w:rPr>
        <w:t xml:space="preserve"> supported in the FGDC standard. </w:t>
      </w:r>
      <w:r w:rsidR="00196692" w:rsidRPr="00896F53">
        <w:rPr>
          <w:rFonts w:cstheme="minorHAnsi"/>
          <w:sz w:val="24"/>
          <w:szCs w:val="24"/>
        </w:rPr>
        <w:t xml:space="preserve">ESRI defines this as a point that represents the “location where the public, or a service provider, would gain access to the specific site or service delivery address”. </w:t>
      </w:r>
      <w:r w:rsidRPr="00896F53">
        <w:rPr>
          <w:rFonts w:cstheme="minorHAnsi"/>
          <w:sz w:val="24"/>
          <w:szCs w:val="24"/>
        </w:rPr>
        <w:t xml:space="preserve">The FGDC standard has no element </w:t>
      </w:r>
      <w:r w:rsidR="00184A2F" w:rsidRPr="00896F53">
        <w:rPr>
          <w:rFonts w:cstheme="minorHAnsi"/>
          <w:sz w:val="24"/>
          <w:szCs w:val="24"/>
        </w:rPr>
        <w:t xml:space="preserve">that specifically indicates </w:t>
      </w:r>
      <w:r w:rsidRPr="00896F53">
        <w:rPr>
          <w:rFonts w:cstheme="minorHAnsi"/>
          <w:sz w:val="24"/>
          <w:szCs w:val="24"/>
        </w:rPr>
        <w:t>the where the public can gain access to the building.</w:t>
      </w:r>
      <w:r w:rsidR="00184A2F" w:rsidRPr="00896F53">
        <w:rPr>
          <w:rFonts w:cstheme="minorHAnsi"/>
          <w:sz w:val="24"/>
          <w:szCs w:val="24"/>
        </w:rPr>
        <w:t xml:space="preserve"> If this information must be included in an address exchange file or database, it could go in the Location Description element. The ISO standard </w:t>
      </w:r>
      <w:r w:rsidR="00C75D85" w:rsidRPr="00896F53">
        <w:rPr>
          <w:rFonts w:cstheme="minorHAnsi"/>
          <w:sz w:val="24"/>
          <w:szCs w:val="24"/>
        </w:rPr>
        <w:t>is</w:t>
      </w:r>
      <w:r w:rsidR="00184A2F" w:rsidRPr="00896F53">
        <w:rPr>
          <w:rFonts w:cstheme="minorHAnsi"/>
          <w:sz w:val="24"/>
          <w:szCs w:val="24"/>
        </w:rPr>
        <w:t xml:space="preserve"> a little closer</w:t>
      </w:r>
      <w:r w:rsidR="00C75D85" w:rsidRPr="00896F53">
        <w:rPr>
          <w:rFonts w:cstheme="minorHAnsi"/>
          <w:sz w:val="24"/>
          <w:szCs w:val="24"/>
        </w:rPr>
        <w:t xml:space="preserve"> to indicating an entrance point </w:t>
      </w:r>
      <w:r w:rsidR="00184A2F" w:rsidRPr="00896F53">
        <w:rPr>
          <w:rFonts w:cstheme="minorHAnsi"/>
          <w:sz w:val="24"/>
          <w:szCs w:val="24"/>
        </w:rPr>
        <w:t>with its addressable object class, though there is no formal element for indicating a public entrance point.</w:t>
      </w:r>
    </w:p>
    <w:p w:rsidR="00C75D85" w:rsidRPr="00896F53" w:rsidRDefault="00196692">
      <w:pPr>
        <w:rPr>
          <w:rFonts w:cstheme="minorHAnsi"/>
          <w:sz w:val="24"/>
          <w:szCs w:val="24"/>
        </w:rPr>
      </w:pPr>
      <w:r w:rsidRPr="00896F53">
        <w:rPr>
          <w:rFonts w:cstheme="minorHAnsi"/>
          <w:sz w:val="24"/>
          <w:szCs w:val="24"/>
        </w:rPr>
        <w:t>The Address</w:t>
      </w:r>
      <w:r w:rsidR="004E36C6" w:rsidRPr="00896F53">
        <w:rPr>
          <w:rFonts w:cstheme="minorHAnsi"/>
          <w:sz w:val="24"/>
          <w:szCs w:val="24"/>
        </w:rPr>
        <w:t xml:space="preserve">Point ESRI feature class represents the “location along the street network where the specific site or service delivery address has been assigned”. The POINTTYPE field has a “Driveway Entrance”, “Building </w:t>
      </w:r>
      <w:r w:rsidR="00EF6F84" w:rsidRPr="00896F53">
        <w:rPr>
          <w:rFonts w:cstheme="minorHAnsi"/>
          <w:sz w:val="24"/>
          <w:szCs w:val="24"/>
        </w:rPr>
        <w:t>Entrance</w:t>
      </w:r>
      <w:r w:rsidR="004E36C6" w:rsidRPr="00896F53">
        <w:rPr>
          <w:rFonts w:cstheme="minorHAnsi"/>
          <w:sz w:val="24"/>
          <w:szCs w:val="24"/>
        </w:rPr>
        <w:t>”, “Other” and “Unknown” for values.</w:t>
      </w:r>
      <w:r w:rsidR="0092507E" w:rsidRPr="00896F53">
        <w:rPr>
          <w:rFonts w:cstheme="minorHAnsi"/>
          <w:sz w:val="24"/>
          <w:szCs w:val="24"/>
        </w:rPr>
        <w:t xml:space="preserve"> If this value must be included in the FGDC address file, it would go on the Location Description element. In the ISO address class, it could possibly go into the AddressableObject class.</w:t>
      </w:r>
    </w:p>
    <w:p w:rsidR="000B7653" w:rsidRPr="00896F53" w:rsidRDefault="00901831" w:rsidP="000B7653">
      <w:pPr>
        <w:spacing w:after="0"/>
        <w:rPr>
          <w:rFonts w:cstheme="minorHAnsi"/>
          <w:sz w:val="24"/>
          <w:szCs w:val="24"/>
        </w:rPr>
      </w:pPr>
      <w:r w:rsidRPr="00896F53">
        <w:rPr>
          <w:rFonts w:cstheme="minorHAnsi"/>
          <w:sz w:val="24"/>
          <w:szCs w:val="24"/>
        </w:rPr>
        <w:t xml:space="preserve">The SiteAddressPoint table is the largest table and does conflict with the FGDC address standard. A prime example of this is that there are no </w:t>
      </w:r>
      <w:r w:rsidR="0034307C" w:rsidRPr="00896F53">
        <w:rPr>
          <w:rFonts w:cstheme="minorHAnsi"/>
          <w:sz w:val="24"/>
          <w:szCs w:val="24"/>
        </w:rPr>
        <w:t>fields for the elements that make up the compound FGDC</w:t>
      </w:r>
      <w:r w:rsidR="008E08BB" w:rsidRPr="00896F53">
        <w:rPr>
          <w:rFonts w:cstheme="minorHAnsi"/>
          <w:sz w:val="24"/>
          <w:szCs w:val="24"/>
        </w:rPr>
        <w:t xml:space="preserve"> element Complete</w:t>
      </w:r>
      <w:r w:rsidR="0034307C" w:rsidRPr="00896F53">
        <w:rPr>
          <w:rFonts w:cstheme="minorHAnsi"/>
          <w:sz w:val="24"/>
          <w:szCs w:val="24"/>
        </w:rPr>
        <w:t xml:space="preserve"> Street Name. These elements include Street Name Pre Modifier, Street Name Pre Directional, Street Name Pre Type, </w:t>
      </w:r>
      <w:r w:rsidR="008E08BB" w:rsidRPr="00896F53">
        <w:rPr>
          <w:rFonts w:cstheme="minorHAnsi"/>
          <w:sz w:val="24"/>
          <w:szCs w:val="24"/>
        </w:rPr>
        <w:t>Separator</w:t>
      </w:r>
      <w:r w:rsidR="0034307C" w:rsidRPr="00896F53">
        <w:rPr>
          <w:rFonts w:cstheme="minorHAnsi"/>
          <w:sz w:val="24"/>
          <w:szCs w:val="24"/>
        </w:rPr>
        <w:t xml:space="preserve"> Element, Street Name, Street Name Post Type, Street Name Post Directional and Street Name Post Modifier. </w:t>
      </w:r>
    </w:p>
    <w:p w:rsidR="000B7653" w:rsidRPr="00896F53" w:rsidRDefault="000B7653" w:rsidP="000B7653">
      <w:pPr>
        <w:spacing w:after="0"/>
        <w:rPr>
          <w:rFonts w:cstheme="minorHAnsi"/>
          <w:sz w:val="24"/>
          <w:szCs w:val="24"/>
        </w:rPr>
      </w:pPr>
    </w:p>
    <w:p w:rsidR="0034307C" w:rsidRPr="00896F53" w:rsidRDefault="000B7653" w:rsidP="0034307C">
      <w:pPr>
        <w:spacing w:after="0"/>
        <w:rPr>
          <w:rFonts w:cstheme="minorHAnsi"/>
          <w:sz w:val="24"/>
          <w:szCs w:val="24"/>
        </w:rPr>
      </w:pPr>
      <w:r w:rsidRPr="00896F53">
        <w:rPr>
          <w:rFonts w:cstheme="minorHAnsi"/>
          <w:sz w:val="24"/>
          <w:szCs w:val="24"/>
        </w:rPr>
        <w:t xml:space="preserve">Another conflict with the FGDC address standard is in the values for the ESRI Status class.  Only one term, retired, is used in both code lists. As the </w:t>
      </w:r>
      <w:r w:rsidRPr="00896F53">
        <w:rPr>
          <w:rFonts w:cstheme="minorHAnsi"/>
          <w:sz w:val="24"/>
          <w:szCs w:val="24"/>
        </w:rPr>
        <w:t>table on the next page</w:t>
      </w:r>
      <w:r w:rsidRPr="00896F53">
        <w:rPr>
          <w:rFonts w:cstheme="minorHAnsi"/>
          <w:sz w:val="24"/>
          <w:szCs w:val="24"/>
        </w:rPr>
        <w:t xml:space="preserve"> shows, ESRI uses the term current for the FGDC term active and the term pending for the FGDC term proposed.  There is also no ESRI equivalent for the FGDC term potential.  The ESRI code</w:t>
      </w:r>
      <w:r w:rsidR="005A3405">
        <w:rPr>
          <w:rFonts w:cstheme="minorHAnsi"/>
          <w:sz w:val="24"/>
          <w:szCs w:val="24"/>
        </w:rPr>
        <w:t xml:space="preserve"> </w:t>
      </w:r>
      <w:r w:rsidRPr="00896F53">
        <w:rPr>
          <w:rFonts w:cstheme="minorHAnsi"/>
          <w:sz w:val="24"/>
          <w:szCs w:val="24"/>
        </w:rPr>
        <w:t>list also has two terms, temporary and other, for which there is no FGDC equivalent</w:t>
      </w:r>
      <w:r w:rsidRPr="00896F53">
        <w:rPr>
          <w:rFonts w:cstheme="minorHAnsi"/>
          <w:sz w:val="24"/>
          <w:szCs w:val="24"/>
        </w:rPr>
        <w:t>.</w:t>
      </w:r>
    </w:p>
    <w:p w:rsidR="000B7653" w:rsidRPr="00896F53" w:rsidRDefault="000B7653" w:rsidP="0034307C">
      <w:pPr>
        <w:spacing w:after="0"/>
        <w:rPr>
          <w:rFonts w:cstheme="minorHAnsi"/>
          <w:sz w:val="24"/>
          <w:szCs w:val="24"/>
        </w:rPr>
      </w:pPr>
    </w:p>
    <w:p w:rsidR="000414EA" w:rsidRPr="00896F53" w:rsidRDefault="000414EA" w:rsidP="0034307C">
      <w:pPr>
        <w:spacing w:after="0"/>
        <w:rPr>
          <w:rFonts w:cstheme="minorHAnsi"/>
          <w:sz w:val="24"/>
          <w:szCs w:val="24"/>
        </w:rPr>
      </w:pPr>
      <w:bookmarkStart w:id="0" w:name="_GoBack"/>
      <w:bookmarkEnd w:id="0"/>
    </w:p>
    <w:p w:rsidR="000B7653" w:rsidRDefault="000B7653" w:rsidP="0034307C">
      <w:pPr>
        <w:spacing w:after="0"/>
        <w:rPr>
          <w:rFonts w:cstheme="minorHAnsi"/>
        </w:rPr>
      </w:pPr>
    </w:p>
    <w:p w:rsidR="000B7653" w:rsidRDefault="000B7653" w:rsidP="0034307C">
      <w:pPr>
        <w:spacing w:after="0"/>
        <w:rPr>
          <w:rFonts w:cstheme="minorHAnsi"/>
        </w:rPr>
      </w:pPr>
    </w:p>
    <w:p w:rsidR="000B7653" w:rsidRDefault="000B7653" w:rsidP="0034307C">
      <w:pPr>
        <w:spacing w:after="0"/>
        <w:rPr>
          <w:rFonts w:cstheme="minorHAnsi"/>
        </w:rPr>
      </w:pPr>
    </w:p>
    <w:p w:rsidR="000B7653" w:rsidRDefault="000B7653" w:rsidP="0034307C">
      <w:pPr>
        <w:spacing w:after="0"/>
        <w:rPr>
          <w:rFonts w:cstheme="minorHAnsi"/>
        </w:rPr>
      </w:pPr>
    </w:p>
    <w:p w:rsidR="000B7653" w:rsidRDefault="000B7653" w:rsidP="0034307C">
      <w:pPr>
        <w:spacing w:after="0"/>
        <w:rPr>
          <w:rFonts w:cstheme="minorHAnsi"/>
        </w:rPr>
      </w:pPr>
    </w:p>
    <w:p w:rsidR="000B7653" w:rsidRDefault="000B7653" w:rsidP="0034307C">
      <w:pPr>
        <w:spacing w:after="0"/>
        <w:rPr>
          <w:rFonts w:cstheme="minorHAnsi"/>
        </w:rPr>
      </w:pPr>
    </w:p>
    <w:p w:rsidR="005A6906" w:rsidRDefault="005A6906" w:rsidP="0034307C">
      <w:pPr>
        <w:spacing w:after="0"/>
        <w:rPr>
          <w:rFonts w:cstheme="minorHAnsi"/>
        </w:rPr>
      </w:pPr>
    </w:p>
    <w:tbl>
      <w:tblPr>
        <w:tblW w:w="2625" w:type="dxa"/>
        <w:tblInd w:w="93" w:type="dxa"/>
        <w:tblLook w:val="04A0" w:firstRow="1" w:lastRow="0" w:firstColumn="1" w:lastColumn="0" w:noHBand="0" w:noVBand="1"/>
      </w:tblPr>
      <w:tblGrid>
        <w:gridCol w:w="1199"/>
        <w:gridCol w:w="1426"/>
      </w:tblGrid>
      <w:tr w:rsidR="005A6906" w:rsidRPr="005A6906" w:rsidTr="005A6906">
        <w:trPr>
          <w:trHeight w:val="300"/>
        </w:trPr>
        <w:tc>
          <w:tcPr>
            <w:tcW w:w="11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A6906" w:rsidRPr="005A6906" w:rsidRDefault="005A6906" w:rsidP="005A6906">
            <w:pPr>
              <w:spacing w:after="0" w:line="240" w:lineRule="auto"/>
              <w:rPr>
                <w:rFonts w:ascii="Calibri" w:eastAsia="Times New Roman" w:hAnsi="Calibri" w:cs="Calibri"/>
                <w:b/>
                <w:bCs/>
                <w:color w:val="000000"/>
              </w:rPr>
            </w:pPr>
            <w:r w:rsidRPr="005A6906">
              <w:rPr>
                <w:rFonts w:ascii="Calibri" w:eastAsia="Times New Roman" w:hAnsi="Calibri" w:cs="Calibri"/>
                <w:b/>
                <w:bCs/>
                <w:color w:val="000000"/>
              </w:rPr>
              <w:t>ESRI Term</w:t>
            </w:r>
          </w:p>
        </w:tc>
        <w:tc>
          <w:tcPr>
            <w:tcW w:w="1426" w:type="dxa"/>
            <w:tcBorders>
              <w:top w:val="single" w:sz="4" w:space="0" w:color="auto"/>
              <w:left w:val="nil"/>
              <w:bottom w:val="single" w:sz="4" w:space="0" w:color="auto"/>
              <w:right w:val="single" w:sz="4" w:space="0" w:color="auto"/>
            </w:tcBorders>
            <w:shd w:val="clear" w:color="auto" w:fill="auto"/>
            <w:noWrap/>
            <w:vAlign w:val="bottom"/>
            <w:hideMark/>
          </w:tcPr>
          <w:p w:rsidR="005A6906" w:rsidRPr="005A6906" w:rsidRDefault="005A6906" w:rsidP="005A6906">
            <w:pPr>
              <w:spacing w:after="0" w:line="240" w:lineRule="auto"/>
              <w:rPr>
                <w:rFonts w:ascii="Calibri" w:eastAsia="Times New Roman" w:hAnsi="Calibri" w:cs="Calibri"/>
                <w:b/>
                <w:bCs/>
                <w:color w:val="000000"/>
              </w:rPr>
            </w:pPr>
            <w:r w:rsidRPr="005A6906">
              <w:rPr>
                <w:rFonts w:ascii="Calibri" w:eastAsia="Times New Roman" w:hAnsi="Calibri" w:cs="Calibri"/>
                <w:b/>
                <w:bCs/>
                <w:color w:val="000000"/>
              </w:rPr>
              <w:t>FGDC  Term</w:t>
            </w:r>
          </w:p>
        </w:tc>
      </w:tr>
      <w:tr w:rsidR="005A6906" w:rsidRPr="005A6906" w:rsidTr="005A6906">
        <w:trPr>
          <w:trHeight w:val="300"/>
        </w:trPr>
        <w:tc>
          <w:tcPr>
            <w:tcW w:w="1199" w:type="dxa"/>
            <w:tcBorders>
              <w:top w:val="nil"/>
              <w:left w:val="single" w:sz="4" w:space="0" w:color="auto"/>
              <w:bottom w:val="single" w:sz="4" w:space="0" w:color="auto"/>
              <w:right w:val="single" w:sz="4" w:space="0" w:color="auto"/>
            </w:tcBorders>
            <w:shd w:val="clear" w:color="auto" w:fill="auto"/>
            <w:noWrap/>
            <w:vAlign w:val="bottom"/>
            <w:hideMark/>
          </w:tcPr>
          <w:p w:rsidR="005A6906" w:rsidRPr="005A6906" w:rsidRDefault="005A6906" w:rsidP="005A6906">
            <w:pPr>
              <w:spacing w:after="0" w:line="240" w:lineRule="auto"/>
              <w:rPr>
                <w:rFonts w:ascii="Calibri" w:eastAsia="Times New Roman" w:hAnsi="Calibri" w:cs="Calibri"/>
                <w:color w:val="000000"/>
              </w:rPr>
            </w:pPr>
            <w:r w:rsidRPr="005A6906">
              <w:rPr>
                <w:rFonts w:ascii="Calibri" w:eastAsia="Times New Roman" w:hAnsi="Calibri" w:cs="Calibri"/>
                <w:color w:val="000000"/>
              </w:rPr>
              <w:t>Current</w:t>
            </w:r>
          </w:p>
        </w:tc>
        <w:tc>
          <w:tcPr>
            <w:tcW w:w="1426" w:type="dxa"/>
            <w:tcBorders>
              <w:top w:val="nil"/>
              <w:left w:val="nil"/>
              <w:bottom w:val="single" w:sz="4" w:space="0" w:color="auto"/>
              <w:right w:val="single" w:sz="4" w:space="0" w:color="auto"/>
            </w:tcBorders>
            <w:shd w:val="clear" w:color="auto" w:fill="auto"/>
            <w:noWrap/>
            <w:vAlign w:val="bottom"/>
            <w:hideMark/>
          </w:tcPr>
          <w:p w:rsidR="005A6906" w:rsidRPr="005A6906" w:rsidRDefault="005A6906" w:rsidP="005A6906">
            <w:pPr>
              <w:spacing w:after="0" w:line="240" w:lineRule="auto"/>
              <w:rPr>
                <w:rFonts w:ascii="Calibri" w:eastAsia="Times New Roman" w:hAnsi="Calibri" w:cs="Calibri"/>
                <w:color w:val="000000"/>
              </w:rPr>
            </w:pPr>
            <w:r w:rsidRPr="005A6906">
              <w:rPr>
                <w:rFonts w:ascii="Calibri" w:eastAsia="Times New Roman" w:hAnsi="Calibri" w:cs="Calibri"/>
                <w:color w:val="000000"/>
              </w:rPr>
              <w:t>Active</w:t>
            </w:r>
          </w:p>
        </w:tc>
      </w:tr>
      <w:tr w:rsidR="005A6906" w:rsidRPr="005A6906" w:rsidTr="005A6906">
        <w:trPr>
          <w:trHeight w:val="300"/>
        </w:trPr>
        <w:tc>
          <w:tcPr>
            <w:tcW w:w="1199" w:type="dxa"/>
            <w:tcBorders>
              <w:top w:val="nil"/>
              <w:left w:val="single" w:sz="4" w:space="0" w:color="auto"/>
              <w:bottom w:val="single" w:sz="4" w:space="0" w:color="auto"/>
              <w:right w:val="single" w:sz="4" w:space="0" w:color="auto"/>
            </w:tcBorders>
            <w:shd w:val="clear" w:color="auto" w:fill="auto"/>
            <w:noWrap/>
            <w:vAlign w:val="bottom"/>
            <w:hideMark/>
          </w:tcPr>
          <w:p w:rsidR="005A6906" w:rsidRPr="005A6906" w:rsidRDefault="005A6906" w:rsidP="005A6906">
            <w:pPr>
              <w:spacing w:after="0" w:line="240" w:lineRule="auto"/>
              <w:rPr>
                <w:rFonts w:ascii="Calibri" w:eastAsia="Times New Roman" w:hAnsi="Calibri" w:cs="Calibri"/>
                <w:color w:val="000000"/>
              </w:rPr>
            </w:pPr>
            <w:r w:rsidRPr="005A6906">
              <w:rPr>
                <w:rFonts w:ascii="Calibri" w:eastAsia="Times New Roman" w:hAnsi="Calibri" w:cs="Calibri"/>
                <w:color w:val="000000"/>
              </w:rPr>
              <w:t>Pending</w:t>
            </w:r>
          </w:p>
        </w:tc>
        <w:tc>
          <w:tcPr>
            <w:tcW w:w="1426" w:type="dxa"/>
            <w:tcBorders>
              <w:top w:val="nil"/>
              <w:left w:val="nil"/>
              <w:bottom w:val="single" w:sz="4" w:space="0" w:color="auto"/>
              <w:right w:val="single" w:sz="4" w:space="0" w:color="auto"/>
            </w:tcBorders>
            <w:shd w:val="clear" w:color="auto" w:fill="auto"/>
            <w:noWrap/>
            <w:vAlign w:val="bottom"/>
            <w:hideMark/>
          </w:tcPr>
          <w:p w:rsidR="005A6906" w:rsidRPr="005A6906" w:rsidRDefault="005A6906" w:rsidP="005A6906">
            <w:pPr>
              <w:spacing w:after="0" w:line="240" w:lineRule="auto"/>
              <w:rPr>
                <w:rFonts w:ascii="Calibri" w:eastAsia="Times New Roman" w:hAnsi="Calibri" w:cs="Calibri"/>
                <w:color w:val="000000"/>
              </w:rPr>
            </w:pPr>
            <w:r w:rsidRPr="005A6906">
              <w:rPr>
                <w:rFonts w:ascii="Calibri" w:eastAsia="Times New Roman" w:hAnsi="Calibri" w:cs="Calibri"/>
                <w:color w:val="000000"/>
              </w:rPr>
              <w:t>Proposed</w:t>
            </w:r>
          </w:p>
        </w:tc>
      </w:tr>
      <w:tr w:rsidR="005A6906" w:rsidRPr="005A6906" w:rsidTr="005A6906">
        <w:trPr>
          <w:trHeight w:val="300"/>
        </w:trPr>
        <w:tc>
          <w:tcPr>
            <w:tcW w:w="1199" w:type="dxa"/>
            <w:tcBorders>
              <w:top w:val="nil"/>
              <w:left w:val="single" w:sz="4" w:space="0" w:color="auto"/>
              <w:bottom w:val="single" w:sz="4" w:space="0" w:color="auto"/>
              <w:right w:val="single" w:sz="4" w:space="0" w:color="auto"/>
            </w:tcBorders>
            <w:shd w:val="clear" w:color="auto" w:fill="auto"/>
            <w:noWrap/>
            <w:vAlign w:val="bottom"/>
            <w:hideMark/>
          </w:tcPr>
          <w:p w:rsidR="005A6906" w:rsidRPr="005A6906" w:rsidRDefault="005A6906" w:rsidP="005A6906">
            <w:pPr>
              <w:spacing w:after="0" w:line="240" w:lineRule="auto"/>
              <w:rPr>
                <w:rFonts w:ascii="Calibri" w:eastAsia="Times New Roman" w:hAnsi="Calibri" w:cs="Calibri"/>
                <w:color w:val="000000"/>
              </w:rPr>
            </w:pPr>
            <w:r w:rsidRPr="005A6906">
              <w:rPr>
                <w:rFonts w:ascii="Calibri" w:eastAsia="Times New Roman" w:hAnsi="Calibri" w:cs="Calibri"/>
                <w:color w:val="000000"/>
              </w:rPr>
              <w:t>Retired</w:t>
            </w:r>
          </w:p>
        </w:tc>
        <w:tc>
          <w:tcPr>
            <w:tcW w:w="1426" w:type="dxa"/>
            <w:tcBorders>
              <w:top w:val="nil"/>
              <w:left w:val="nil"/>
              <w:bottom w:val="single" w:sz="4" w:space="0" w:color="auto"/>
              <w:right w:val="single" w:sz="4" w:space="0" w:color="auto"/>
            </w:tcBorders>
            <w:shd w:val="clear" w:color="auto" w:fill="auto"/>
            <w:noWrap/>
            <w:vAlign w:val="bottom"/>
            <w:hideMark/>
          </w:tcPr>
          <w:p w:rsidR="005A6906" w:rsidRPr="005A6906" w:rsidRDefault="005A6906" w:rsidP="005A6906">
            <w:pPr>
              <w:spacing w:after="0" w:line="240" w:lineRule="auto"/>
              <w:rPr>
                <w:rFonts w:ascii="Calibri" w:eastAsia="Times New Roman" w:hAnsi="Calibri" w:cs="Calibri"/>
                <w:color w:val="000000"/>
              </w:rPr>
            </w:pPr>
            <w:r w:rsidRPr="005A6906">
              <w:rPr>
                <w:rFonts w:ascii="Calibri" w:eastAsia="Times New Roman" w:hAnsi="Calibri" w:cs="Calibri"/>
                <w:color w:val="000000"/>
              </w:rPr>
              <w:t>Retired</w:t>
            </w:r>
          </w:p>
        </w:tc>
      </w:tr>
      <w:tr w:rsidR="005A6906" w:rsidRPr="005A6906" w:rsidTr="005A6906">
        <w:trPr>
          <w:trHeight w:val="300"/>
        </w:trPr>
        <w:tc>
          <w:tcPr>
            <w:tcW w:w="1199" w:type="dxa"/>
            <w:tcBorders>
              <w:top w:val="nil"/>
              <w:left w:val="single" w:sz="4" w:space="0" w:color="auto"/>
              <w:bottom w:val="single" w:sz="4" w:space="0" w:color="auto"/>
              <w:right w:val="single" w:sz="4" w:space="0" w:color="auto"/>
            </w:tcBorders>
            <w:shd w:val="clear" w:color="auto" w:fill="auto"/>
            <w:noWrap/>
            <w:vAlign w:val="bottom"/>
            <w:hideMark/>
          </w:tcPr>
          <w:p w:rsidR="005A6906" w:rsidRPr="005A6906" w:rsidRDefault="005A6906" w:rsidP="005A6906">
            <w:pPr>
              <w:spacing w:after="0" w:line="240" w:lineRule="auto"/>
              <w:rPr>
                <w:rFonts w:ascii="Calibri" w:eastAsia="Times New Roman" w:hAnsi="Calibri" w:cs="Calibri"/>
                <w:color w:val="000000"/>
              </w:rPr>
            </w:pPr>
            <w:r w:rsidRPr="005A6906">
              <w:rPr>
                <w:rFonts w:ascii="Calibri" w:eastAsia="Times New Roman" w:hAnsi="Calibri" w:cs="Calibri"/>
                <w:color w:val="000000"/>
              </w:rPr>
              <w:t>Temporary</w:t>
            </w:r>
          </w:p>
        </w:tc>
        <w:tc>
          <w:tcPr>
            <w:tcW w:w="1426" w:type="dxa"/>
            <w:tcBorders>
              <w:top w:val="nil"/>
              <w:left w:val="nil"/>
              <w:bottom w:val="single" w:sz="4" w:space="0" w:color="auto"/>
              <w:right w:val="single" w:sz="4" w:space="0" w:color="auto"/>
            </w:tcBorders>
            <w:shd w:val="clear" w:color="000000" w:fill="D9D9D9"/>
            <w:noWrap/>
            <w:vAlign w:val="bottom"/>
            <w:hideMark/>
          </w:tcPr>
          <w:p w:rsidR="005A6906" w:rsidRPr="005A6906" w:rsidRDefault="005A6906" w:rsidP="005A6906">
            <w:pPr>
              <w:spacing w:after="0" w:line="240" w:lineRule="auto"/>
              <w:rPr>
                <w:rFonts w:ascii="Calibri" w:eastAsia="Times New Roman" w:hAnsi="Calibri" w:cs="Calibri"/>
                <w:color w:val="000000"/>
              </w:rPr>
            </w:pPr>
            <w:r w:rsidRPr="005A6906">
              <w:rPr>
                <w:rFonts w:ascii="Calibri" w:eastAsia="Times New Roman" w:hAnsi="Calibri" w:cs="Calibri"/>
                <w:color w:val="000000"/>
              </w:rPr>
              <w:t> </w:t>
            </w:r>
          </w:p>
        </w:tc>
      </w:tr>
      <w:tr w:rsidR="005A6906" w:rsidRPr="005A6906" w:rsidTr="005A6906">
        <w:trPr>
          <w:trHeight w:val="300"/>
        </w:trPr>
        <w:tc>
          <w:tcPr>
            <w:tcW w:w="1199" w:type="dxa"/>
            <w:tcBorders>
              <w:top w:val="nil"/>
              <w:left w:val="single" w:sz="4" w:space="0" w:color="auto"/>
              <w:bottom w:val="single" w:sz="4" w:space="0" w:color="auto"/>
              <w:right w:val="single" w:sz="4" w:space="0" w:color="auto"/>
            </w:tcBorders>
            <w:shd w:val="clear" w:color="auto" w:fill="auto"/>
            <w:noWrap/>
            <w:vAlign w:val="bottom"/>
            <w:hideMark/>
          </w:tcPr>
          <w:p w:rsidR="005A6906" w:rsidRPr="005A6906" w:rsidRDefault="005A6906" w:rsidP="005A6906">
            <w:pPr>
              <w:spacing w:after="0" w:line="240" w:lineRule="auto"/>
              <w:rPr>
                <w:rFonts w:ascii="Calibri" w:eastAsia="Times New Roman" w:hAnsi="Calibri" w:cs="Calibri"/>
                <w:color w:val="000000"/>
              </w:rPr>
            </w:pPr>
            <w:r w:rsidRPr="005A6906">
              <w:rPr>
                <w:rFonts w:ascii="Calibri" w:eastAsia="Times New Roman" w:hAnsi="Calibri" w:cs="Calibri"/>
                <w:color w:val="000000"/>
              </w:rPr>
              <w:t>Other</w:t>
            </w:r>
          </w:p>
        </w:tc>
        <w:tc>
          <w:tcPr>
            <w:tcW w:w="1426" w:type="dxa"/>
            <w:tcBorders>
              <w:top w:val="nil"/>
              <w:left w:val="nil"/>
              <w:bottom w:val="single" w:sz="4" w:space="0" w:color="auto"/>
              <w:right w:val="single" w:sz="4" w:space="0" w:color="auto"/>
            </w:tcBorders>
            <w:shd w:val="clear" w:color="000000" w:fill="D9D9D9"/>
            <w:noWrap/>
            <w:vAlign w:val="bottom"/>
            <w:hideMark/>
          </w:tcPr>
          <w:p w:rsidR="005A6906" w:rsidRPr="005A6906" w:rsidRDefault="005A6906" w:rsidP="005A6906">
            <w:pPr>
              <w:spacing w:after="0" w:line="240" w:lineRule="auto"/>
              <w:rPr>
                <w:rFonts w:ascii="Calibri" w:eastAsia="Times New Roman" w:hAnsi="Calibri" w:cs="Calibri"/>
                <w:color w:val="000000"/>
              </w:rPr>
            </w:pPr>
            <w:r w:rsidRPr="005A6906">
              <w:rPr>
                <w:rFonts w:ascii="Calibri" w:eastAsia="Times New Roman" w:hAnsi="Calibri" w:cs="Calibri"/>
                <w:color w:val="000000"/>
              </w:rPr>
              <w:t> </w:t>
            </w:r>
          </w:p>
        </w:tc>
      </w:tr>
      <w:tr w:rsidR="005A6906" w:rsidRPr="005A6906" w:rsidTr="005A6906">
        <w:trPr>
          <w:trHeight w:val="300"/>
        </w:trPr>
        <w:tc>
          <w:tcPr>
            <w:tcW w:w="1199" w:type="dxa"/>
            <w:tcBorders>
              <w:top w:val="nil"/>
              <w:left w:val="single" w:sz="4" w:space="0" w:color="auto"/>
              <w:bottom w:val="single" w:sz="4" w:space="0" w:color="auto"/>
              <w:right w:val="single" w:sz="4" w:space="0" w:color="auto"/>
            </w:tcBorders>
            <w:shd w:val="clear" w:color="000000" w:fill="D9D9D9"/>
            <w:noWrap/>
            <w:vAlign w:val="bottom"/>
            <w:hideMark/>
          </w:tcPr>
          <w:p w:rsidR="005A6906" w:rsidRPr="005A6906" w:rsidRDefault="005A6906" w:rsidP="005A6906">
            <w:pPr>
              <w:spacing w:after="0" w:line="240" w:lineRule="auto"/>
              <w:rPr>
                <w:rFonts w:ascii="Calibri" w:eastAsia="Times New Roman" w:hAnsi="Calibri" w:cs="Calibri"/>
                <w:color w:val="000000"/>
              </w:rPr>
            </w:pPr>
            <w:r w:rsidRPr="005A6906">
              <w:rPr>
                <w:rFonts w:ascii="Calibri" w:eastAsia="Times New Roman" w:hAnsi="Calibri" w:cs="Calibri"/>
                <w:color w:val="000000"/>
              </w:rPr>
              <w:t> </w:t>
            </w:r>
          </w:p>
        </w:tc>
        <w:tc>
          <w:tcPr>
            <w:tcW w:w="1426" w:type="dxa"/>
            <w:tcBorders>
              <w:top w:val="nil"/>
              <w:left w:val="nil"/>
              <w:bottom w:val="single" w:sz="4" w:space="0" w:color="auto"/>
              <w:right w:val="single" w:sz="4" w:space="0" w:color="auto"/>
            </w:tcBorders>
            <w:shd w:val="clear" w:color="auto" w:fill="auto"/>
            <w:noWrap/>
            <w:vAlign w:val="bottom"/>
            <w:hideMark/>
          </w:tcPr>
          <w:p w:rsidR="005A6906" w:rsidRPr="005A6906" w:rsidRDefault="005A6906" w:rsidP="005A6906">
            <w:pPr>
              <w:spacing w:after="0" w:line="240" w:lineRule="auto"/>
              <w:rPr>
                <w:rFonts w:ascii="Calibri" w:eastAsia="Times New Roman" w:hAnsi="Calibri" w:cs="Calibri"/>
                <w:color w:val="000000"/>
              </w:rPr>
            </w:pPr>
            <w:r w:rsidRPr="005A6906">
              <w:rPr>
                <w:rFonts w:ascii="Calibri" w:eastAsia="Times New Roman" w:hAnsi="Calibri" w:cs="Calibri"/>
                <w:color w:val="000000"/>
              </w:rPr>
              <w:t>Potential</w:t>
            </w:r>
          </w:p>
        </w:tc>
      </w:tr>
    </w:tbl>
    <w:p w:rsidR="0034307C" w:rsidRPr="00896F53" w:rsidRDefault="00374831" w:rsidP="00896F53">
      <w:pPr>
        <w:pStyle w:val="Caption"/>
        <w:rPr>
          <w:rFonts w:cstheme="minorHAnsi"/>
          <w:color w:val="auto"/>
        </w:rPr>
      </w:pPr>
      <w:r w:rsidRPr="00374831">
        <w:rPr>
          <w:color w:val="auto"/>
        </w:rPr>
        <w:t xml:space="preserve">Figure </w:t>
      </w:r>
      <w:r w:rsidRPr="00374831">
        <w:rPr>
          <w:color w:val="auto"/>
        </w:rPr>
        <w:fldChar w:fldCharType="begin"/>
      </w:r>
      <w:r w:rsidRPr="00374831">
        <w:rPr>
          <w:color w:val="auto"/>
        </w:rPr>
        <w:instrText xml:space="preserve"> SEQ Figure \* ARABIC </w:instrText>
      </w:r>
      <w:r w:rsidRPr="00374831">
        <w:rPr>
          <w:color w:val="auto"/>
        </w:rPr>
        <w:fldChar w:fldCharType="separate"/>
      </w:r>
      <w:r w:rsidRPr="00374831">
        <w:rPr>
          <w:noProof/>
          <w:color w:val="auto"/>
        </w:rPr>
        <w:t>1</w:t>
      </w:r>
      <w:r w:rsidRPr="00374831">
        <w:rPr>
          <w:color w:val="auto"/>
        </w:rPr>
        <w:fldChar w:fldCharType="end"/>
      </w:r>
      <w:r w:rsidRPr="00374831">
        <w:rPr>
          <w:color w:val="auto"/>
        </w:rPr>
        <w:t xml:space="preserve">: A table comparing ESRI and FGDC Status code lists. The grayed out boxes indicate that there is no </w:t>
      </w:r>
      <w:r w:rsidR="005A3405" w:rsidRPr="00374831">
        <w:rPr>
          <w:color w:val="auto"/>
        </w:rPr>
        <w:t>corresponding</w:t>
      </w:r>
      <w:r w:rsidRPr="00374831">
        <w:rPr>
          <w:color w:val="auto"/>
        </w:rPr>
        <w:t xml:space="preserve"> value in that class</w:t>
      </w:r>
    </w:p>
    <w:p w:rsidR="000B7653" w:rsidRPr="00896F53" w:rsidRDefault="0034307C" w:rsidP="000B7653">
      <w:pPr>
        <w:spacing w:after="0"/>
        <w:rPr>
          <w:rFonts w:cstheme="minorHAnsi"/>
          <w:sz w:val="24"/>
        </w:rPr>
      </w:pPr>
      <w:r w:rsidRPr="00896F53">
        <w:rPr>
          <w:rFonts w:cstheme="minorHAnsi"/>
          <w:sz w:val="24"/>
        </w:rPr>
        <w:t xml:space="preserve"> </w:t>
      </w:r>
      <w:r w:rsidR="000B7653" w:rsidRPr="00896F53">
        <w:rPr>
          <w:rFonts w:cstheme="minorHAnsi"/>
          <w:sz w:val="24"/>
        </w:rPr>
        <w:t>Th</w:t>
      </w:r>
      <w:r w:rsidR="00374831" w:rsidRPr="00896F53">
        <w:rPr>
          <w:rFonts w:cstheme="minorHAnsi"/>
          <w:sz w:val="24"/>
        </w:rPr>
        <w:t>e</w:t>
      </w:r>
      <w:r w:rsidR="000B7653" w:rsidRPr="00896F53">
        <w:rPr>
          <w:rFonts w:cstheme="minorHAnsi"/>
          <w:sz w:val="24"/>
        </w:rPr>
        <w:t xml:space="preserve"> </w:t>
      </w:r>
      <w:r w:rsidR="00374831" w:rsidRPr="00896F53">
        <w:rPr>
          <w:rFonts w:cstheme="minorHAnsi"/>
          <w:sz w:val="24"/>
        </w:rPr>
        <w:t>SiteAddressPoint</w:t>
      </w:r>
      <w:r w:rsidR="005A3405">
        <w:rPr>
          <w:rFonts w:cstheme="minorHAnsi"/>
          <w:sz w:val="24"/>
        </w:rPr>
        <w:t xml:space="preserve"> tables</w:t>
      </w:r>
      <w:r w:rsidR="000B7653" w:rsidRPr="00896F53">
        <w:rPr>
          <w:rFonts w:cstheme="minorHAnsi"/>
          <w:sz w:val="24"/>
        </w:rPr>
        <w:t>, however</w:t>
      </w:r>
      <w:r w:rsidR="005A3405">
        <w:rPr>
          <w:rFonts w:cstheme="minorHAnsi"/>
          <w:sz w:val="24"/>
        </w:rPr>
        <w:t xml:space="preserve">, </w:t>
      </w:r>
      <w:r w:rsidR="000B7653" w:rsidRPr="00896F53">
        <w:rPr>
          <w:rFonts w:cstheme="minorHAnsi"/>
          <w:sz w:val="24"/>
        </w:rPr>
        <w:t xml:space="preserve">does support some FGDC standard elements. This table does fully support the compound FGDC elements Complete Address Number and Complete </w:t>
      </w:r>
      <w:proofErr w:type="spellStart"/>
      <w:r w:rsidR="000B7653" w:rsidRPr="00896F53">
        <w:rPr>
          <w:rFonts w:cstheme="minorHAnsi"/>
          <w:sz w:val="24"/>
        </w:rPr>
        <w:t>Subaddress</w:t>
      </w:r>
      <w:proofErr w:type="spellEnd"/>
      <w:r w:rsidR="000B7653" w:rsidRPr="00896F53">
        <w:rPr>
          <w:rFonts w:cstheme="minorHAnsi"/>
          <w:sz w:val="24"/>
        </w:rPr>
        <w:t xml:space="preserve">. It also supports the Delivery Address, Place Name and </w:t>
      </w:r>
      <w:proofErr w:type="spellStart"/>
      <w:r w:rsidR="000B7653" w:rsidRPr="00896F53">
        <w:rPr>
          <w:rFonts w:cstheme="minorHAnsi"/>
          <w:sz w:val="24"/>
        </w:rPr>
        <w:t>AddressID</w:t>
      </w:r>
      <w:proofErr w:type="spellEnd"/>
      <w:r w:rsidR="000B7653" w:rsidRPr="00896F53">
        <w:rPr>
          <w:rFonts w:cstheme="minorHAnsi"/>
          <w:sz w:val="24"/>
        </w:rPr>
        <w:t xml:space="preserve"> FGDC elements</w:t>
      </w:r>
      <w:r w:rsidR="00374831" w:rsidRPr="00896F53">
        <w:rPr>
          <w:rFonts w:cstheme="minorHAnsi"/>
          <w:sz w:val="24"/>
        </w:rPr>
        <w:t>.</w:t>
      </w:r>
    </w:p>
    <w:p w:rsidR="00374831" w:rsidRPr="00896F53" w:rsidRDefault="00374831" w:rsidP="000B7653">
      <w:pPr>
        <w:spacing w:after="0"/>
        <w:rPr>
          <w:rFonts w:cstheme="minorHAnsi"/>
          <w:sz w:val="24"/>
        </w:rPr>
      </w:pPr>
    </w:p>
    <w:p w:rsidR="00374831" w:rsidRPr="00896F53" w:rsidRDefault="00374831" w:rsidP="000B7653">
      <w:pPr>
        <w:spacing w:after="0"/>
        <w:rPr>
          <w:rFonts w:cstheme="minorHAnsi"/>
          <w:sz w:val="24"/>
        </w:rPr>
      </w:pPr>
      <w:r w:rsidRPr="00896F53">
        <w:rPr>
          <w:rFonts w:cstheme="minorHAnsi"/>
          <w:sz w:val="24"/>
        </w:rPr>
        <w:t>SiteAddressPoint</w:t>
      </w:r>
      <w:r w:rsidRPr="00896F53">
        <w:rPr>
          <w:rFonts w:cstheme="minorHAnsi"/>
          <w:sz w:val="24"/>
        </w:rPr>
        <w:t xml:space="preserve"> also includes two elements, ESN and MSAG, that deal 911 emergency services by </w:t>
      </w:r>
      <w:proofErr w:type="gramStart"/>
      <w:r w:rsidRPr="00896F53">
        <w:rPr>
          <w:rFonts w:cstheme="minorHAnsi"/>
          <w:sz w:val="24"/>
        </w:rPr>
        <w:t>indicating  what</w:t>
      </w:r>
      <w:proofErr w:type="gramEnd"/>
      <w:r w:rsidRPr="00896F53">
        <w:rPr>
          <w:rFonts w:cstheme="minorHAnsi"/>
          <w:sz w:val="24"/>
        </w:rPr>
        <w:t xml:space="preserve"> emergency service number the address resides.</w:t>
      </w:r>
    </w:p>
    <w:p w:rsidR="0034307C" w:rsidRDefault="0034307C" w:rsidP="0034307C">
      <w:pPr>
        <w:spacing w:after="0"/>
        <w:rPr>
          <w:rFonts w:cstheme="minorHAnsi"/>
        </w:rPr>
      </w:pPr>
    </w:p>
    <w:p w:rsidR="0034307C" w:rsidRDefault="0034307C" w:rsidP="0034307C">
      <w:pPr>
        <w:spacing w:after="0"/>
        <w:rPr>
          <w:rFonts w:cstheme="minorHAnsi"/>
        </w:rPr>
      </w:pPr>
    </w:p>
    <w:p w:rsidR="0092507E" w:rsidRDefault="0092507E"/>
    <w:p w:rsidR="00C75D85" w:rsidRDefault="00C75D85"/>
    <w:sectPr w:rsidR="00C75D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3423"/>
    <w:rsid w:val="00005E41"/>
    <w:rsid w:val="000414EA"/>
    <w:rsid w:val="000B7653"/>
    <w:rsid w:val="001232C2"/>
    <w:rsid w:val="00184A2F"/>
    <w:rsid w:val="00196692"/>
    <w:rsid w:val="0034307C"/>
    <w:rsid w:val="00374831"/>
    <w:rsid w:val="003B061F"/>
    <w:rsid w:val="004A0151"/>
    <w:rsid w:val="004E36C6"/>
    <w:rsid w:val="005A3405"/>
    <w:rsid w:val="005A6906"/>
    <w:rsid w:val="00693423"/>
    <w:rsid w:val="007E4FBF"/>
    <w:rsid w:val="00820AE7"/>
    <w:rsid w:val="00896F53"/>
    <w:rsid w:val="008A1F40"/>
    <w:rsid w:val="008E08BB"/>
    <w:rsid w:val="00901831"/>
    <w:rsid w:val="0092507E"/>
    <w:rsid w:val="00C75D85"/>
    <w:rsid w:val="00D96FBE"/>
    <w:rsid w:val="00E02926"/>
    <w:rsid w:val="00EC05B0"/>
    <w:rsid w:val="00EF6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374831"/>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374831"/>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77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B2002-0E11-4798-8A9E-654F6DF63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221CEBD0.dotm</Template>
  <TotalTime>396</TotalTime>
  <Pages>2</Pages>
  <Words>512</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3431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J McCready</dc:creator>
  <cp:keywords/>
  <dc:description/>
  <cp:lastModifiedBy>Matthew J McCready</cp:lastModifiedBy>
  <cp:revision>7</cp:revision>
  <dcterms:created xsi:type="dcterms:W3CDTF">2013-04-22T14:35:00Z</dcterms:created>
  <dcterms:modified xsi:type="dcterms:W3CDTF">2013-04-23T13:30:00Z</dcterms:modified>
</cp:coreProperties>
</file>