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2F2" w:rsidRDefault="00CE42F2" w:rsidP="00CE42F2">
      <w:pPr>
        <w:pStyle w:val="Heading1"/>
        <w:numPr>
          <w:ilvl w:val="0"/>
          <w:numId w:val="1"/>
        </w:numPr>
        <w:rPr>
          <w:rFonts w:ascii="Arial" w:hAnsi="Arial"/>
          <w:b w:val="0"/>
          <w:color w:val="630000"/>
          <w:sz w:val="30"/>
        </w:rPr>
      </w:pPr>
      <w:hyperlink r:id="rId8" w:history="1">
        <w:r>
          <w:rPr>
            <w:rStyle w:val="Hyperlink"/>
            <w:b w:val="0"/>
            <w:color w:val="000000"/>
            <w:sz w:val="40"/>
          </w:rPr>
          <w:t>Comments For Discussion</w:t>
        </w:r>
      </w:hyperlink>
    </w:p>
    <w:p w:rsidR="00CE42F2" w:rsidRDefault="00CE42F2" w:rsidP="00CE42F2">
      <w:pPr>
        <w:pStyle w:val="Heading2"/>
        <w:widowControl/>
        <w:numPr>
          <w:ilvl w:val="1"/>
          <w:numId w:val="1"/>
        </w:numPr>
        <w:pBdr>
          <w:bottom w:val="single" w:sz="6" w:space="1" w:color="FFFFFF"/>
        </w:pBdr>
        <w:shd w:val="clear" w:color="auto" w:fill="F6F6F6"/>
        <w:ind w:left="0" w:firstLine="0"/>
        <w:rPr>
          <w:rFonts w:ascii="Arial" w:hAnsi="Arial"/>
          <w:b w:val="0"/>
          <w:color w:val="630000"/>
          <w:sz w:val="30"/>
        </w:rPr>
      </w:pPr>
      <w:bookmarkStart w:id="0" w:name="Draft_for_Census"/>
      <w:bookmarkEnd w:id="0"/>
      <w:r>
        <w:rPr>
          <w:rFonts w:ascii="Arial" w:hAnsi="Arial"/>
          <w:b w:val="0"/>
          <w:color w:val="630000"/>
          <w:sz w:val="30"/>
        </w:rPr>
        <w:t>Draft for Census</w:t>
      </w:r>
    </w:p>
    <w:p w:rsidR="00CE42F2" w:rsidRDefault="00CE42F2" w:rsidP="00CE42F2">
      <w:pPr>
        <w:pStyle w:val="Heading2"/>
        <w:widowControl/>
        <w:numPr>
          <w:ilvl w:val="1"/>
          <w:numId w:val="1"/>
        </w:numPr>
        <w:pBdr>
          <w:bottom w:val="single" w:sz="6" w:space="1" w:color="FFFFFF"/>
        </w:pBdr>
        <w:shd w:val="clear" w:color="auto" w:fill="F6F6F6"/>
        <w:ind w:left="0" w:firstLine="0"/>
        <w:rPr>
          <w:rStyle w:val="Strong"/>
          <w:bCs/>
          <w:sz w:val="27"/>
        </w:rPr>
      </w:pPr>
      <w:bookmarkStart w:id="1" w:name="Conceptual_Issues"/>
      <w:bookmarkEnd w:id="1"/>
      <w:r>
        <w:rPr>
          <w:rFonts w:ascii="Arial" w:hAnsi="Arial"/>
          <w:b w:val="0"/>
          <w:color w:val="630000"/>
          <w:sz w:val="30"/>
        </w:rPr>
        <w:t>Conceptual Issues</w:t>
      </w:r>
    </w:p>
    <w:p w:rsidR="00CE42F2" w:rsidRDefault="00CE42F2" w:rsidP="00CE42F2">
      <w:pPr>
        <w:pStyle w:val="Heading3"/>
        <w:widowControl/>
        <w:numPr>
          <w:ilvl w:val="2"/>
          <w:numId w:val="1"/>
        </w:numPr>
        <w:pBdr>
          <w:bottom w:val="single" w:sz="6" w:space="1" w:color="FFFFFF"/>
        </w:pBdr>
        <w:shd w:val="clear" w:color="auto" w:fill="FFFFFF"/>
        <w:ind w:left="0" w:firstLine="0"/>
        <w:rPr>
          <w:color w:val="000000"/>
          <w:sz w:val="20"/>
        </w:rPr>
      </w:pPr>
      <w:bookmarkStart w:id="2" w:name="Ontology_Models"/>
      <w:bookmarkEnd w:id="2"/>
      <w:r>
        <w:rPr>
          <w:rStyle w:val="Strong"/>
          <w:rFonts w:ascii="Arial" w:hAnsi="Arial"/>
          <w:bCs/>
          <w:color w:val="630000"/>
          <w:sz w:val="27"/>
        </w:rPr>
        <w:t>Ontology Models</w:t>
      </w:r>
    </w:p>
    <w:p w:rsidR="00CE42F2" w:rsidRDefault="00CE42F2" w:rsidP="00CE42F2">
      <w:pPr>
        <w:pStyle w:val="BodyText"/>
        <w:widowControl/>
        <w:numPr>
          <w:ilvl w:val="0"/>
          <w:numId w:val="2"/>
        </w:numPr>
        <w:tabs>
          <w:tab w:val="left" w:pos="707"/>
        </w:tabs>
        <w:spacing w:line="300" w:lineRule="atLeast"/>
        <w:rPr>
          <w:color w:val="000000"/>
          <w:sz w:val="20"/>
        </w:rPr>
      </w:pPr>
      <w:r>
        <w:rPr>
          <w:color w:val="000000"/>
          <w:sz w:val="20"/>
        </w:rPr>
        <w:t>The ontology model presented provides an environment in which open data linking can occur. This has numerous advantages over rigid data models that would require extensive redesign of existing address data repositories in individual countries. This is fairly new technology, and is being studied in various agencies of the Federal government at this time.</w:t>
      </w:r>
      <w:r>
        <w:rPr>
          <w:rStyle w:val="FootnoteReference"/>
          <w:color w:val="000000"/>
          <w:sz w:val="20"/>
        </w:rPr>
        <w:footnoteReference w:id="1"/>
      </w:r>
      <w:r>
        <w:rPr>
          <w:color w:val="000000"/>
          <w:sz w:val="20"/>
        </w:rPr>
        <w:t xml:space="preserve"> </w:t>
      </w:r>
    </w:p>
    <w:p w:rsidR="00CE42F2" w:rsidRDefault="00CE42F2" w:rsidP="00CE42F2">
      <w:pPr>
        <w:pStyle w:val="BodyText"/>
        <w:widowControl/>
        <w:numPr>
          <w:ilvl w:val="0"/>
          <w:numId w:val="2"/>
        </w:numPr>
        <w:tabs>
          <w:tab w:val="left" w:pos="707"/>
        </w:tabs>
        <w:spacing w:line="300" w:lineRule="atLeast"/>
        <w:rPr>
          <w:color w:val="000000"/>
          <w:sz w:val="20"/>
        </w:rPr>
      </w:pPr>
      <w:r>
        <w:rPr>
          <w:color w:val="000000"/>
          <w:sz w:val="20"/>
        </w:rPr>
        <w:t>The ontology presented in the ISO draft is still at a very abstract and high level. In order to function in a way that data could be tested, exchanged or understood across a variety of datasets, a vocabulary defining the concepts and the constructs (assemblies of individual conceptual entities) needs to be developed.</w:t>
      </w:r>
    </w:p>
    <w:p w:rsidR="00CE42F2" w:rsidRDefault="00CE42F2" w:rsidP="00CE42F2">
      <w:pPr>
        <w:pStyle w:val="BodyText"/>
        <w:widowControl/>
        <w:numPr>
          <w:ilvl w:val="1"/>
          <w:numId w:val="2"/>
        </w:numPr>
        <w:tabs>
          <w:tab w:val="left" w:pos="1414"/>
        </w:tabs>
        <w:spacing w:line="300" w:lineRule="atLeast"/>
        <w:rPr>
          <w:rStyle w:val="Strong"/>
          <w:color w:val="630000"/>
          <w:sz w:val="27"/>
        </w:rPr>
      </w:pPr>
      <w:r>
        <w:rPr>
          <w:color w:val="000000"/>
          <w:sz w:val="20"/>
        </w:rPr>
        <w:t>The United States has done considerable work in developing the vocabulary of its concepts and constructs (simple and complex elements) which are incorporated into the FGDC Address Standard. The United States can provide this "proto-vocabulary" as both an example and a base for others to contribute to, thus expediting the process of creating the ISO vocabulary. The vocabulary provides the information required by users of the data to understand what a specific part (or conceptual entity) means, and how to place it in the overall ontology. It also means that individual countries could preserve their own parsing methods and terminology for addresses.</w:t>
      </w:r>
    </w:p>
    <w:p w:rsidR="00CE42F2" w:rsidRDefault="00CE42F2" w:rsidP="00CE42F2">
      <w:pPr>
        <w:pStyle w:val="Heading3"/>
        <w:widowControl/>
        <w:numPr>
          <w:ilvl w:val="2"/>
          <w:numId w:val="1"/>
        </w:numPr>
        <w:pBdr>
          <w:bottom w:val="single" w:sz="6" w:space="1" w:color="FFFFFF"/>
        </w:pBdr>
        <w:shd w:val="clear" w:color="auto" w:fill="FFFFFF"/>
        <w:ind w:left="0" w:firstLine="0"/>
        <w:rPr>
          <w:rFonts w:ascii="Arial" w:hAnsi="Arial"/>
          <w:color w:val="000000"/>
          <w:sz w:val="20"/>
        </w:rPr>
      </w:pPr>
      <w:bookmarkStart w:id="3" w:name="Use_Cases"/>
      <w:bookmarkEnd w:id="3"/>
      <w:r>
        <w:rPr>
          <w:rStyle w:val="Strong"/>
          <w:rFonts w:ascii="Arial" w:hAnsi="Arial"/>
          <w:bCs/>
          <w:color w:val="630000"/>
          <w:sz w:val="27"/>
        </w:rPr>
        <w:t>Use Cases</w:t>
      </w:r>
    </w:p>
    <w:p w:rsidR="00CE42F2" w:rsidRDefault="00CE42F2" w:rsidP="00CE42F2">
      <w:pPr>
        <w:pStyle w:val="BodyText"/>
        <w:widowControl/>
        <w:numPr>
          <w:ilvl w:val="0"/>
          <w:numId w:val="3"/>
        </w:numPr>
        <w:tabs>
          <w:tab w:val="left" w:pos="707"/>
        </w:tabs>
        <w:spacing w:line="300" w:lineRule="atLeast"/>
        <w:rPr>
          <w:color w:val="000000"/>
          <w:sz w:val="20"/>
        </w:rPr>
      </w:pPr>
      <w:r>
        <w:rPr>
          <w:color w:val="000000"/>
          <w:sz w:val="20"/>
        </w:rPr>
        <w:t>The documents describe the concept of an exchange standard but the examples shown do not encompass an exchange. It would be helpful to have formal use cases illustrating how the concept of referencing national standards would work in practice.</w:t>
      </w:r>
    </w:p>
    <w:p w:rsidR="00CE42F2" w:rsidRDefault="00CE42F2" w:rsidP="00CE42F2">
      <w:pPr>
        <w:pStyle w:val="BodyText"/>
        <w:widowControl/>
        <w:numPr>
          <w:ilvl w:val="0"/>
          <w:numId w:val="3"/>
        </w:numPr>
        <w:tabs>
          <w:tab w:val="left" w:pos="707"/>
        </w:tabs>
        <w:spacing w:line="300" w:lineRule="atLeast"/>
        <w:rPr>
          <w:rStyle w:val="Strong"/>
          <w:color w:val="630000"/>
          <w:sz w:val="27"/>
        </w:rPr>
      </w:pPr>
      <w:r>
        <w:rPr>
          <w:color w:val="000000"/>
          <w:sz w:val="20"/>
        </w:rPr>
        <w:t>As noted below, quality control depends to a great extent on an understanding of the address ontology. Use cases in UML would promote an understanding of the vocabulary needed to support the exchanges described.</w:t>
      </w:r>
    </w:p>
    <w:p w:rsidR="00CE42F2" w:rsidRDefault="00CE42F2" w:rsidP="00CE42F2">
      <w:pPr>
        <w:pStyle w:val="Heading3"/>
        <w:widowControl/>
        <w:numPr>
          <w:ilvl w:val="2"/>
          <w:numId w:val="1"/>
        </w:numPr>
        <w:pBdr>
          <w:bottom w:val="single" w:sz="6" w:space="1" w:color="FFFFFF"/>
        </w:pBdr>
        <w:shd w:val="clear" w:color="auto" w:fill="FFFFFF"/>
        <w:ind w:left="0" w:firstLine="0"/>
        <w:rPr>
          <w:rFonts w:ascii="Arial" w:hAnsi="Arial"/>
          <w:color w:val="000000"/>
          <w:sz w:val="20"/>
        </w:rPr>
      </w:pPr>
      <w:bookmarkStart w:id="4" w:name="With_a_high_level_abstract_model"/>
      <w:bookmarkEnd w:id="4"/>
      <w:r>
        <w:rPr>
          <w:rStyle w:val="Strong"/>
          <w:rFonts w:ascii="Arial" w:hAnsi="Arial"/>
          <w:bCs/>
          <w:color w:val="630000"/>
          <w:sz w:val="27"/>
        </w:rPr>
        <w:t>With a high-level, abstract model, a methodology is required to make the data mutually comprehensible.</w:t>
      </w:r>
    </w:p>
    <w:p w:rsidR="00CE42F2" w:rsidRDefault="00CE42F2" w:rsidP="00CE42F2">
      <w:pPr>
        <w:pStyle w:val="BodyText"/>
        <w:widowControl/>
        <w:numPr>
          <w:ilvl w:val="0"/>
          <w:numId w:val="4"/>
        </w:numPr>
        <w:tabs>
          <w:tab w:val="left" w:pos="707"/>
        </w:tabs>
        <w:spacing w:line="300" w:lineRule="atLeast"/>
        <w:rPr>
          <w:color w:val="000000"/>
          <w:sz w:val="20"/>
        </w:rPr>
      </w:pPr>
      <w:r>
        <w:rPr>
          <w:color w:val="000000"/>
          <w:sz w:val="20"/>
        </w:rPr>
        <w:t xml:space="preserve">The documents indicate a vision that includes a variety of standardization approaches: address data, addressing practice, and exchange/transfer processes. The work that was done in the </w:t>
      </w:r>
      <w:r>
        <w:rPr>
          <w:color w:val="000000"/>
          <w:sz w:val="20"/>
        </w:rPr>
        <w:lastRenderedPageBreak/>
        <w:t>document prepared to support the work of building a standard is quite comprehensive and provides a good framework for what is to come.</w:t>
      </w:r>
    </w:p>
    <w:p w:rsidR="00CE42F2" w:rsidRDefault="00CE42F2" w:rsidP="00CE42F2">
      <w:pPr>
        <w:pStyle w:val="BodyText"/>
        <w:widowControl/>
        <w:numPr>
          <w:ilvl w:val="1"/>
          <w:numId w:val="4"/>
        </w:numPr>
        <w:tabs>
          <w:tab w:val="left" w:pos="1414"/>
        </w:tabs>
        <w:spacing w:line="300" w:lineRule="atLeast"/>
        <w:rPr>
          <w:color w:val="000000"/>
          <w:sz w:val="20"/>
        </w:rPr>
      </w:pPr>
      <w:r>
        <w:rPr>
          <w:color w:val="000000"/>
          <w:sz w:val="20"/>
        </w:rPr>
        <w:t>It is not entirely clear that the standardization approaches have been clearly separated and understood as related, but different sets of concepts and/or objects to be standardized.</w:t>
      </w:r>
    </w:p>
    <w:p w:rsidR="00CE42F2" w:rsidRDefault="00CE42F2" w:rsidP="00CE42F2">
      <w:pPr>
        <w:pStyle w:val="BodyText"/>
        <w:widowControl/>
        <w:numPr>
          <w:ilvl w:val="1"/>
          <w:numId w:val="4"/>
        </w:numPr>
        <w:tabs>
          <w:tab w:val="left" w:pos="1414"/>
        </w:tabs>
        <w:spacing w:line="300" w:lineRule="atLeast"/>
        <w:rPr>
          <w:color w:val="000000"/>
          <w:sz w:val="20"/>
        </w:rPr>
      </w:pPr>
      <w:r>
        <w:rPr>
          <w:color w:val="000000"/>
          <w:sz w:val="20"/>
        </w:rPr>
        <w:t>The standards presented take very different approaches to these issues.</w:t>
      </w:r>
    </w:p>
    <w:p w:rsidR="00CE42F2" w:rsidRDefault="00CE42F2" w:rsidP="00CE42F2">
      <w:pPr>
        <w:pStyle w:val="BodyText"/>
        <w:widowControl/>
        <w:numPr>
          <w:ilvl w:val="1"/>
          <w:numId w:val="4"/>
        </w:numPr>
        <w:tabs>
          <w:tab w:val="left" w:pos="1414"/>
        </w:tabs>
        <w:spacing w:line="300" w:lineRule="atLeast"/>
        <w:rPr>
          <w:rStyle w:val="Strong"/>
        </w:rPr>
      </w:pPr>
      <w:r>
        <w:rPr>
          <w:color w:val="000000"/>
          <w:sz w:val="20"/>
        </w:rPr>
        <w:t>The approaches are largely a function of cultural, historic and geographic factors that tend to guide addressing.</w:t>
      </w:r>
    </w:p>
    <w:p w:rsidR="00CE42F2" w:rsidRDefault="00CE42F2" w:rsidP="00CE42F2">
      <w:pPr>
        <w:pStyle w:val="BodyText"/>
        <w:widowControl/>
        <w:numPr>
          <w:ilvl w:val="0"/>
          <w:numId w:val="4"/>
        </w:numPr>
        <w:tabs>
          <w:tab w:val="left" w:pos="707"/>
        </w:tabs>
        <w:spacing w:line="300" w:lineRule="atLeast"/>
        <w:rPr>
          <w:rStyle w:val="Strong"/>
          <w:color w:val="000000"/>
          <w:sz w:val="20"/>
        </w:rPr>
      </w:pPr>
      <w:r>
        <w:rPr>
          <w:rStyle w:val="Strong"/>
          <w:color w:val="000000"/>
          <w:sz w:val="20"/>
        </w:rPr>
        <w:t>Three main types of standards are included</w:t>
      </w:r>
      <w:r>
        <w:rPr>
          <w:color w:val="000000"/>
          <w:sz w:val="20"/>
        </w:rPr>
        <w:t> in the studies that led to the current proposal for 5 interrelated parts of an international address standard:</w:t>
      </w:r>
    </w:p>
    <w:p w:rsidR="00CE42F2" w:rsidRDefault="00CE42F2" w:rsidP="00CE42F2">
      <w:pPr>
        <w:pStyle w:val="BodyText"/>
        <w:widowControl/>
        <w:numPr>
          <w:ilvl w:val="1"/>
          <w:numId w:val="4"/>
        </w:numPr>
        <w:tabs>
          <w:tab w:val="left" w:pos="1414"/>
        </w:tabs>
        <w:spacing w:line="300" w:lineRule="atLeast"/>
        <w:rPr>
          <w:rStyle w:val="Strong"/>
          <w:color w:val="000000"/>
          <w:sz w:val="20"/>
        </w:rPr>
      </w:pPr>
      <w:r>
        <w:rPr>
          <w:rStyle w:val="Strong"/>
          <w:color w:val="000000"/>
          <w:sz w:val="20"/>
        </w:rPr>
        <w:t>Gazetteer</w:t>
      </w:r>
      <w:r>
        <w:rPr>
          <w:color w:val="000000"/>
          <w:sz w:val="20"/>
        </w:rPr>
        <w:t> type standards in which the addressable object is the primary feature, the address itself is an attribute of the object. Coordinate values (a "location") are required in order to have an address. The form and structure of the address itself is seen as less important than the location.</w:t>
      </w:r>
    </w:p>
    <w:p w:rsidR="00CE42F2" w:rsidRDefault="00CE42F2" w:rsidP="00CE42F2">
      <w:pPr>
        <w:pStyle w:val="BodyText"/>
        <w:widowControl/>
        <w:numPr>
          <w:ilvl w:val="1"/>
          <w:numId w:val="4"/>
        </w:numPr>
        <w:tabs>
          <w:tab w:val="left" w:pos="1414"/>
        </w:tabs>
        <w:spacing w:line="300" w:lineRule="atLeast"/>
        <w:rPr>
          <w:rStyle w:val="Strong"/>
          <w:color w:val="000000"/>
          <w:sz w:val="20"/>
        </w:rPr>
      </w:pPr>
      <w:r>
        <w:rPr>
          <w:rStyle w:val="Strong"/>
          <w:color w:val="000000"/>
          <w:sz w:val="20"/>
        </w:rPr>
        <w:t>Postal</w:t>
      </w:r>
      <w:r>
        <w:rPr>
          <w:color w:val="000000"/>
          <w:sz w:val="20"/>
        </w:rPr>
        <w:t> type standards in which the major concern is the ordering and placement (rendition) of the parts of an address on a mail piece (letter, parcel, etc.) for delivery to a specific recognized location. The address itself describes a location, and additional coordinates are not usually a part of the information standardized or utilized. The parts of an address string may be standardized to assist in the use of automated processing equipment (optical character recognition) and standardized abbreviations may be provided.</w:t>
      </w:r>
    </w:p>
    <w:p w:rsidR="00CE42F2" w:rsidRDefault="00CE42F2" w:rsidP="00CE42F2">
      <w:pPr>
        <w:pStyle w:val="BodyText"/>
        <w:widowControl/>
        <w:numPr>
          <w:ilvl w:val="1"/>
          <w:numId w:val="4"/>
        </w:numPr>
        <w:tabs>
          <w:tab w:val="left" w:pos="1414"/>
        </w:tabs>
        <w:spacing w:line="300" w:lineRule="atLeast"/>
      </w:pPr>
      <w:r>
        <w:rPr>
          <w:rStyle w:val="Strong"/>
          <w:color w:val="000000"/>
          <w:sz w:val="20"/>
        </w:rPr>
        <w:t>Syntactical</w:t>
      </w:r>
      <w:r>
        <w:rPr>
          <w:color w:val="000000"/>
          <w:sz w:val="20"/>
        </w:rPr>
        <w:t> type standards in which the address is the primary data to be standardized. Elements are created that define the various pieces of the address string. These elements are utilized and arranged in various ways (often termed "classes" or "types") to create address information for different purposes, including service delivery, postal delivery, and mapping. Coordinate values may or may not be required to supplement the identification of the address's physical location.</w:t>
      </w:r>
    </w:p>
    <w:p w:rsidR="00CE42F2" w:rsidRDefault="00CE42F2" w:rsidP="00CE42F2">
      <w:pPr>
        <w:pStyle w:val="BodyText"/>
        <w:widowControl/>
        <w:numPr>
          <w:ilvl w:val="1"/>
          <w:numId w:val="4"/>
        </w:numPr>
        <w:tabs>
          <w:tab w:val="left" w:pos="1414"/>
        </w:tabs>
        <w:spacing w:line="300" w:lineRule="atLeast"/>
        <w:rPr>
          <w:b/>
          <w:bCs/>
          <w:color w:val="000000"/>
          <w:sz w:val="20"/>
        </w:rPr>
      </w:pPr>
      <w:r>
        <w:rPr>
          <w:b/>
          <w:bCs/>
          <w:color w:val="000000"/>
          <w:sz w:val="20"/>
        </w:rPr>
        <w:t>There are common concepts that can provide conceptual frameworks that support the individual data elements for all of these types.</w:t>
      </w:r>
      <w:r>
        <w:rPr>
          <w:color w:val="000000"/>
          <w:sz w:val="20"/>
        </w:rPr>
        <w:t xml:space="preserve"> Further the elements, once defined in a data vocabulary, can be combined in multiple ways, producing conceptual equivalents that are a part of the ontology, but which also provide mutual understanding of the information content being transmitted. This common core of conceptual elements could provide the center of the standard envisioned in ISO 19160-1. The development of the "vocabulary" and elaboration of what is meant by various address terms and conceptual pieces is an area in which the United States (as expressed in the FGDC Address Data Standard) has a strong background and level of expertise. The U.S. representatives to the ISO Working Group could exercise important leadership in bringing the standard to a level that could be understood and implemented by many.</w:t>
      </w:r>
    </w:p>
    <w:p w:rsidR="00CE42F2" w:rsidRDefault="00CE42F2" w:rsidP="00CE42F2">
      <w:pPr>
        <w:pStyle w:val="BodyText"/>
        <w:widowControl/>
        <w:numPr>
          <w:ilvl w:val="1"/>
          <w:numId w:val="4"/>
        </w:numPr>
        <w:tabs>
          <w:tab w:val="left" w:pos="1414"/>
        </w:tabs>
        <w:spacing w:line="300" w:lineRule="atLeast"/>
        <w:rPr>
          <w:b/>
          <w:color w:val="630000"/>
          <w:sz w:val="27"/>
        </w:rPr>
      </w:pPr>
      <w:r>
        <w:rPr>
          <w:b/>
          <w:bCs/>
          <w:color w:val="000000"/>
          <w:sz w:val="20"/>
        </w:rPr>
        <w:lastRenderedPageBreak/>
        <w:t>The use of RDF and OWL</w:t>
      </w:r>
      <w:r>
        <w:rPr>
          <w:color w:val="000000"/>
          <w:sz w:val="20"/>
        </w:rPr>
        <w:t xml:space="preserve"> as the expressive technologies of the contents of the National Body standards </w:t>
      </w:r>
      <w:r>
        <w:rPr>
          <w:rStyle w:val="Strong"/>
          <w:color w:val="000000"/>
          <w:sz w:val="20"/>
        </w:rPr>
        <w:t xml:space="preserve">might </w:t>
      </w:r>
      <w:r>
        <w:rPr>
          <w:color w:val="000000"/>
          <w:sz w:val="20"/>
        </w:rPr>
        <w:t>remove the need to explicitly develop profiles between the various National Body standards. What does that mean? Instead of having (N-1)! explicit profiles, each standard tags its "stuff" in a uniform way and the magic of RDF allows information to zip around the interwebs. We will not predict the overall success of this method, it is definitely an academic approach to a sticky problem. If successful it would very useful.</w:t>
      </w:r>
    </w:p>
    <w:p w:rsidR="00CE42F2" w:rsidRDefault="00CE42F2" w:rsidP="00CE42F2">
      <w:pPr>
        <w:pStyle w:val="Heading3"/>
        <w:widowControl/>
        <w:numPr>
          <w:ilvl w:val="2"/>
          <w:numId w:val="1"/>
        </w:numPr>
        <w:pBdr>
          <w:bottom w:val="single" w:sz="6" w:space="1" w:color="FFFFFF"/>
        </w:pBdr>
        <w:shd w:val="clear" w:color="auto" w:fill="FFFFFF"/>
        <w:ind w:left="0" w:firstLine="0"/>
        <w:rPr>
          <w:rFonts w:ascii="Arial" w:hAnsi="Arial"/>
          <w:b w:val="0"/>
          <w:color w:val="000000"/>
          <w:sz w:val="20"/>
        </w:rPr>
      </w:pPr>
      <w:bookmarkStart w:id="5" w:name="Address_Assignment_Practices_Par"/>
      <w:bookmarkEnd w:id="5"/>
      <w:r>
        <w:rPr>
          <w:rFonts w:ascii="Arial" w:hAnsi="Arial"/>
          <w:color w:val="630000"/>
          <w:sz w:val="27"/>
        </w:rPr>
        <w:t>Address Assignment Practices (Part 2 of the conceptual framework provided) are not easy nor practical to standardize in most places.</w:t>
      </w:r>
    </w:p>
    <w:p w:rsidR="00CE42F2" w:rsidRDefault="00CE42F2" w:rsidP="00CE42F2">
      <w:pPr>
        <w:pStyle w:val="BodyText"/>
        <w:widowControl/>
        <w:numPr>
          <w:ilvl w:val="0"/>
          <w:numId w:val="5"/>
        </w:numPr>
        <w:tabs>
          <w:tab w:val="left" w:pos="707"/>
        </w:tabs>
        <w:spacing w:line="300" w:lineRule="atLeast"/>
        <w:rPr>
          <w:color w:val="000000"/>
          <w:sz w:val="20"/>
        </w:rPr>
      </w:pPr>
      <w:r>
        <w:rPr>
          <w:color w:val="000000"/>
          <w:sz w:val="20"/>
        </w:rPr>
        <w:t>While some countries and areas do not have addressing in place, there are many that do.</w:t>
      </w:r>
    </w:p>
    <w:p w:rsidR="00CE42F2" w:rsidRDefault="00CE42F2" w:rsidP="00CE42F2">
      <w:pPr>
        <w:pStyle w:val="BodyText"/>
        <w:widowControl/>
        <w:numPr>
          <w:ilvl w:val="1"/>
          <w:numId w:val="5"/>
        </w:numPr>
        <w:tabs>
          <w:tab w:val="left" w:pos="1414"/>
        </w:tabs>
        <w:spacing w:line="300" w:lineRule="atLeast"/>
        <w:rPr>
          <w:color w:val="000000"/>
          <w:sz w:val="20"/>
        </w:rPr>
      </w:pPr>
      <w:r>
        <w:rPr>
          <w:color w:val="000000"/>
          <w:sz w:val="20"/>
        </w:rPr>
        <w:t>In those places where addresses are already in widespread use, the standardization of addressing practices and methods of assignment is usually not possible.</w:t>
      </w:r>
    </w:p>
    <w:p w:rsidR="00CE42F2" w:rsidRDefault="00CE42F2" w:rsidP="00CE42F2">
      <w:pPr>
        <w:pStyle w:val="BodyText"/>
        <w:widowControl/>
        <w:numPr>
          <w:ilvl w:val="2"/>
          <w:numId w:val="5"/>
        </w:numPr>
        <w:tabs>
          <w:tab w:val="left" w:pos="2121"/>
        </w:tabs>
        <w:spacing w:line="300" w:lineRule="atLeast"/>
        <w:rPr>
          <w:color w:val="000000"/>
          <w:sz w:val="20"/>
        </w:rPr>
      </w:pPr>
      <w:r>
        <w:rPr>
          <w:color w:val="000000"/>
          <w:sz w:val="20"/>
        </w:rPr>
        <w:t>It is largely a question of documenting the rules that are in place, and then following them to attain consistency of practice.</w:t>
      </w:r>
    </w:p>
    <w:p w:rsidR="00CE42F2" w:rsidRDefault="00CE42F2" w:rsidP="00CE42F2">
      <w:pPr>
        <w:pStyle w:val="BodyText"/>
        <w:widowControl/>
        <w:numPr>
          <w:ilvl w:val="1"/>
          <w:numId w:val="5"/>
        </w:numPr>
        <w:tabs>
          <w:tab w:val="left" w:pos="1414"/>
        </w:tabs>
        <w:spacing w:line="300" w:lineRule="atLeast"/>
        <w:rPr>
          <w:rStyle w:val="Strong"/>
        </w:rPr>
      </w:pPr>
      <w:r>
        <w:rPr>
          <w:color w:val="000000"/>
          <w:sz w:val="20"/>
        </w:rPr>
        <w:t>In places where there are no addresses, Address Reference Systems (see below) can be created to provide a framework for assignment of addresses according to a pre-defined set of rules. This should help create a high-quality address system on the ground.</w:t>
      </w:r>
    </w:p>
    <w:p w:rsidR="00CE42F2" w:rsidRDefault="00CE42F2" w:rsidP="00CE42F2">
      <w:pPr>
        <w:pStyle w:val="BodyText"/>
        <w:widowControl/>
        <w:numPr>
          <w:ilvl w:val="1"/>
          <w:numId w:val="5"/>
        </w:numPr>
        <w:tabs>
          <w:tab w:val="left" w:pos="1414"/>
        </w:tabs>
        <w:spacing w:line="300" w:lineRule="atLeast"/>
      </w:pPr>
      <w:r>
        <w:rPr>
          <w:rStyle w:val="Strong"/>
          <w:color w:val="000000"/>
          <w:sz w:val="20"/>
        </w:rPr>
        <w:t>Address assignment is largely a local issue:</w:t>
      </w:r>
      <w:r>
        <w:rPr>
          <w:color w:val="000000"/>
          <w:sz w:val="20"/>
        </w:rPr>
        <w:t> this is both a challenge and a necessity</w:t>
      </w:r>
    </w:p>
    <w:p w:rsidR="00CE42F2" w:rsidRDefault="00CE42F2" w:rsidP="00CE42F2">
      <w:pPr>
        <w:pStyle w:val="BodyText"/>
        <w:widowControl/>
        <w:numPr>
          <w:ilvl w:val="2"/>
          <w:numId w:val="5"/>
        </w:numPr>
        <w:tabs>
          <w:tab w:val="left" w:pos="2121"/>
        </w:tabs>
        <w:spacing w:line="300" w:lineRule="atLeast"/>
        <w:rPr>
          <w:color w:val="000000"/>
          <w:sz w:val="20"/>
        </w:rPr>
      </w:pPr>
      <w:r>
        <w:rPr>
          <w:color w:val="000000"/>
          <w:sz w:val="20"/>
        </w:rPr>
        <w:t>Challenging in that each area does its addressing in its own way</w:t>
      </w:r>
    </w:p>
    <w:p w:rsidR="00CE42F2" w:rsidRDefault="00CE42F2" w:rsidP="00CE42F2">
      <w:pPr>
        <w:pStyle w:val="BodyText"/>
        <w:widowControl/>
        <w:numPr>
          <w:ilvl w:val="2"/>
          <w:numId w:val="5"/>
        </w:numPr>
        <w:tabs>
          <w:tab w:val="left" w:pos="2121"/>
        </w:tabs>
        <w:spacing w:line="300" w:lineRule="atLeast"/>
        <w:rPr>
          <w:color w:val="000000"/>
          <w:sz w:val="20"/>
        </w:rPr>
      </w:pPr>
      <w:r>
        <w:rPr>
          <w:color w:val="000000"/>
          <w:sz w:val="20"/>
        </w:rPr>
        <w:t>Necessity because geography is always local, and addressing systems are a response to both cultural and geographic patterns which are remarkably different from place to place.</w:t>
      </w:r>
    </w:p>
    <w:p w:rsidR="00CE42F2" w:rsidRDefault="00CE42F2" w:rsidP="00CE42F2">
      <w:pPr>
        <w:pStyle w:val="BodyText"/>
        <w:widowControl/>
        <w:numPr>
          <w:ilvl w:val="2"/>
          <w:numId w:val="5"/>
        </w:numPr>
        <w:tabs>
          <w:tab w:val="left" w:pos="2121"/>
        </w:tabs>
        <w:spacing w:line="300" w:lineRule="atLeast"/>
        <w:rPr>
          <w:b/>
          <w:color w:val="630000"/>
          <w:sz w:val="27"/>
        </w:rPr>
      </w:pPr>
      <w:r>
        <w:rPr>
          <w:color w:val="000000"/>
          <w:sz w:val="20"/>
        </w:rPr>
        <w:t>Often, attempting to readdress or asking local governments to assign addresses according to a national scheme creates resistance or confusion. Old addresses are used along side "new" ones, data that is attached to old ones may be lost, and locals may resent being told how to address in their communities.</w:t>
      </w:r>
    </w:p>
    <w:p w:rsidR="00CE42F2" w:rsidRDefault="00CE42F2" w:rsidP="00CE42F2">
      <w:pPr>
        <w:pStyle w:val="Heading3"/>
        <w:widowControl/>
        <w:numPr>
          <w:ilvl w:val="2"/>
          <w:numId w:val="1"/>
        </w:numPr>
        <w:pBdr>
          <w:bottom w:val="single" w:sz="6" w:space="1" w:color="FFFFFF"/>
        </w:pBdr>
        <w:shd w:val="clear" w:color="auto" w:fill="FFFFFF"/>
        <w:ind w:left="0" w:firstLine="0"/>
        <w:rPr>
          <w:rFonts w:ascii="Arial" w:hAnsi="Arial"/>
          <w:b w:val="0"/>
          <w:color w:val="000000"/>
          <w:sz w:val="20"/>
        </w:rPr>
      </w:pPr>
      <w:bookmarkStart w:id="6" w:name="Data_Quality_Management"/>
      <w:bookmarkEnd w:id="6"/>
      <w:r>
        <w:rPr>
          <w:rFonts w:ascii="Arial" w:hAnsi="Arial"/>
          <w:color w:val="630000"/>
          <w:sz w:val="27"/>
        </w:rPr>
        <w:t>Data Quality Management</w:t>
      </w:r>
    </w:p>
    <w:p w:rsidR="00CE42F2" w:rsidRDefault="00CE42F2" w:rsidP="00CE42F2">
      <w:pPr>
        <w:pStyle w:val="BodyText"/>
        <w:widowControl/>
        <w:numPr>
          <w:ilvl w:val="0"/>
          <w:numId w:val="6"/>
        </w:numPr>
        <w:tabs>
          <w:tab w:val="left" w:pos="707"/>
        </w:tabs>
        <w:spacing w:line="300" w:lineRule="atLeast"/>
        <w:rPr>
          <w:color w:val="000000"/>
          <w:sz w:val="20"/>
        </w:rPr>
      </w:pPr>
      <w:r>
        <w:rPr>
          <w:color w:val="000000"/>
          <w:sz w:val="20"/>
        </w:rPr>
        <w:t>The management of data quality requires a thorough understanding of the data content and the interrelationships between data components. As presently conceptualized, the definitions of the elements of an address are left to individual countries as participants in the International Standard, and thus, any testing of quality is dependent upon the individual country testing against its own definitions.</w:t>
      </w:r>
    </w:p>
    <w:p w:rsidR="00CE42F2" w:rsidRDefault="00CE42F2" w:rsidP="00CE42F2">
      <w:pPr>
        <w:pStyle w:val="BodyText"/>
        <w:widowControl/>
        <w:numPr>
          <w:ilvl w:val="0"/>
          <w:numId w:val="6"/>
        </w:numPr>
        <w:tabs>
          <w:tab w:val="left" w:pos="707"/>
        </w:tabs>
        <w:spacing w:line="300" w:lineRule="atLeast"/>
        <w:rPr>
          <w:color w:val="000000"/>
          <w:sz w:val="20"/>
        </w:rPr>
      </w:pPr>
      <w:r>
        <w:rPr>
          <w:color w:val="000000"/>
          <w:sz w:val="20"/>
        </w:rPr>
        <w:t>Quality control tests, called "measures" in the FGDC standard, are named. In almost all most cases they describe a methodology. That means that the results of the overwhelming majority of measures can be reported in a single sentence, for example: </w:t>
      </w:r>
      <w:r>
        <w:rPr>
          <w:color w:val="000000"/>
          <w:sz w:val="20"/>
        </w:rPr>
        <w:br/>
      </w:r>
      <w:r>
        <w:rPr>
          <w:color w:val="000000"/>
          <w:sz w:val="20"/>
        </w:rPr>
        <w:br/>
      </w:r>
      <w:r>
        <w:rPr>
          <w:i/>
          <w:iCs/>
          <w:color w:val="000000"/>
          <w:sz w:val="20"/>
        </w:rPr>
        <w:t>Tested AddressLeftRightMeasure at 85% conformance.</w:t>
      </w:r>
      <w:r>
        <w:rPr>
          <w:color w:val="000000"/>
          <w:sz w:val="20"/>
        </w:rPr>
        <w:br/>
      </w:r>
      <w:r>
        <w:rPr>
          <w:color w:val="000000"/>
          <w:sz w:val="20"/>
        </w:rPr>
        <w:lastRenderedPageBreak/>
        <w:br/>
        <w:t>Without standard definitions, this simple and easily understood framework is not possible.</w:t>
      </w:r>
    </w:p>
    <w:p w:rsidR="00CE42F2" w:rsidRDefault="00CE42F2" w:rsidP="00CE42F2">
      <w:pPr>
        <w:pStyle w:val="BodyText"/>
        <w:widowControl/>
        <w:numPr>
          <w:ilvl w:val="0"/>
          <w:numId w:val="6"/>
        </w:numPr>
        <w:tabs>
          <w:tab w:val="left" w:pos="707"/>
        </w:tabs>
        <w:spacing w:line="300" w:lineRule="atLeast"/>
        <w:rPr>
          <w:color w:val="000000"/>
          <w:sz w:val="20"/>
        </w:rPr>
      </w:pPr>
      <w:r>
        <w:rPr>
          <w:color w:val="000000"/>
          <w:sz w:val="20"/>
        </w:rPr>
        <w:t>The FGDC standard data quality section is shaped around the elements, attributes and classifications in that document. Lacking such definitions complicates both the task of assembling a quality testing suite and the interpretation of the results. If a specific vocabulary for address components is not defined the framework for quality control becomes far more complicated. It must provide not only the tests themselves but an explanation of the address components tested, and methods for evaluating the results. In effect, the work done for the FGDC standard would need to be completed for each instance. This would be true even within national boundaries, as addresses are usually assigned locally with widely varying methods.</w:t>
      </w:r>
    </w:p>
    <w:p w:rsidR="00CE42F2" w:rsidRDefault="00CE42F2" w:rsidP="00CE42F2">
      <w:pPr>
        <w:pStyle w:val="BodyText"/>
        <w:widowControl/>
        <w:numPr>
          <w:ilvl w:val="1"/>
          <w:numId w:val="6"/>
        </w:numPr>
        <w:tabs>
          <w:tab w:val="left" w:pos="1414"/>
        </w:tabs>
        <w:spacing w:line="300" w:lineRule="atLeast"/>
        <w:rPr>
          <w:color w:val="630000"/>
          <w:sz w:val="30"/>
        </w:rPr>
      </w:pPr>
      <w:r>
        <w:rPr>
          <w:color w:val="000000"/>
          <w:sz w:val="20"/>
        </w:rPr>
        <w:t>The Address Reference System (ARS) concept as outlined in the FGDC Standard, as a reference for the rules that govern a particular set of addresses, provides the framework for specifying how the FGDC ontology applies to a given area or dataset. If the rules are not clearly documented (e.g., which side of a street is odd or even numbered, or where are directional values used, and how) then it is difficult to determine whether an individual address is valid or not. This can affect service and postal delivery significantly. Adopting such a framework could de-complicate quality testing. Regardless, quality testing is fully dependent on clearly defined terms.</w:t>
      </w:r>
    </w:p>
    <w:p w:rsidR="00CE42F2" w:rsidRDefault="00CE42F2" w:rsidP="00CE42F2">
      <w:pPr>
        <w:pStyle w:val="Heading2"/>
        <w:widowControl/>
        <w:numPr>
          <w:ilvl w:val="1"/>
          <w:numId w:val="1"/>
        </w:numPr>
        <w:pBdr>
          <w:bottom w:val="single" w:sz="6" w:space="1" w:color="FFFFFF"/>
        </w:pBdr>
        <w:shd w:val="clear" w:color="auto" w:fill="F6F6F6"/>
        <w:ind w:left="0" w:firstLine="0"/>
        <w:rPr>
          <w:rStyle w:val="Strong"/>
          <w:rFonts w:ascii="Arial" w:hAnsi="Arial"/>
          <w:bCs/>
          <w:color w:val="000000"/>
          <w:sz w:val="20"/>
        </w:rPr>
      </w:pPr>
      <w:bookmarkStart w:id="7" w:name="Strategic_Recommendations"/>
      <w:bookmarkEnd w:id="7"/>
      <w:r>
        <w:rPr>
          <w:rFonts w:ascii="Arial" w:hAnsi="Arial"/>
          <w:b w:val="0"/>
          <w:color w:val="630000"/>
          <w:sz w:val="30"/>
        </w:rPr>
        <w:t>Strategic Recommendations</w:t>
      </w:r>
    </w:p>
    <w:p w:rsidR="00CE42F2" w:rsidRDefault="00CE42F2" w:rsidP="00CE42F2">
      <w:pPr>
        <w:pStyle w:val="BodyText"/>
        <w:widowControl/>
        <w:numPr>
          <w:ilvl w:val="0"/>
          <w:numId w:val="7"/>
        </w:numPr>
        <w:tabs>
          <w:tab w:val="left" w:pos="707"/>
        </w:tabs>
        <w:spacing w:line="300" w:lineRule="atLeast"/>
      </w:pPr>
      <w:r>
        <w:rPr>
          <w:rStyle w:val="Strong"/>
          <w:color w:val="000000"/>
          <w:sz w:val="20"/>
        </w:rPr>
        <w:t>As a part of the ontology, define three types of address standards: gazetteer, syntactical, and postal, and the rules and processes invoked by each type.</w:t>
      </w:r>
    </w:p>
    <w:p w:rsidR="00CE42F2" w:rsidRDefault="00CE42F2" w:rsidP="00CE42F2">
      <w:pPr>
        <w:pStyle w:val="BodyText"/>
        <w:widowControl/>
        <w:numPr>
          <w:ilvl w:val="1"/>
          <w:numId w:val="7"/>
        </w:numPr>
        <w:tabs>
          <w:tab w:val="left" w:pos="1414"/>
        </w:tabs>
        <w:spacing w:line="300" w:lineRule="atLeast"/>
        <w:rPr>
          <w:rStyle w:val="Strong"/>
        </w:rPr>
      </w:pPr>
      <w:r>
        <w:rPr>
          <w:color w:val="000000"/>
          <w:sz w:val="20"/>
        </w:rPr>
        <w:t>Allow authors to specify which type (or combination of types) a given standard is, and specify the requirements that must be met in order to be recoginzed as that type. Define the methods for moving from one type to another. In this way, the ISO standard will preserve and reinforce the strengths of each approach, and create synergy between them.</w:t>
      </w:r>
    </w:p>
    <w:p w:rsidR="00CE42F2" w:rsidRDefault="00CE42F2" w:rsidP="00CE42F2">
      <w:pPr>
        <w:pStyle w:val="BodyText"/>
        <w:widowControl/>
        <w:numPr>
          <w:ilvl w:val="0"/>
          <w:numId w:val="7"/>
        </w:numPr>
        <w:tabs>
          <w:tab w:val="left" w:pos="707"/>
        </w:tabs>
        <w:spacing w:line="300" w:lineRule="atLeast"/>
        <w:rPr>
          <w:rStyle w:val="Strong"/>
          <w:color w:val="000000"/>
          <w:sz w:val="20"/>
        </w:rPr>
      </w:pPr>
      <w:r>
        <w:rPr>
          <w:rStyle w:val="Strong"/>
          <w:color w:val="000000"/>
          <w:sz w:val="20"/>
        </w:rPr>
        <w:t>Provide use cases to illustrate practical implementation of the standard(s)</w:t>
      </w:r>
      <w:r>
        <w:rPr>
          <w:color w:val="000000"/>
          <w:sz w:val="20"/>
        </w:rPr>
        <w:t>. Define roles and provide UML use case diagrams that can help users understand the steps they'll need to undertake to comply with the standard.</w:t>
      </w:r>
    </w:p>
    <w:p w:rsidR="00CE42F2" w:rsidRDefault="00CE42F2" w:rsidP="00CE42F2">
      <w:pPr>
        <w:pStyle w:val="BodyText"/>
        <w:widowControl/>
        <w:numPr>
          <w:ilvl w:val="0"/>
          <w:numId w:val="7"/>
        </w:numPr>
        <w:tabs>
          <w:tab w:val="left" w:pos="707"/>
        </w:tabs>
        <w:spacing w:line="300" w:lineRule="atLeast"/>
      </w:pPr>
      <w:r>
        <w:rPr>
          <w:rStyle w:val="Strong"/>
          <w:color w:val="000000"/>
          <w:sz w:val="20"/>
        </w:rPr>
        <w:t>Create the vocabulary by defining address concepts and relationships as address elements and attributes</w:t>
      </w:r>
      <w:r>
        <w:rPr>
          <w:color w:val="000000"/>
          <w:sz w:val="20"/>
        </w:rPr>
        <w:t>. The elements should include those which have been found in the various national standards cited, but should also provide an open path for others that are found or created later to become part of the vocabulary.</w:t>
      </w:r>
    </w:p>
    <w:p w:rsidR="00CE42F2" w:rsidRDefault="00CE42F2" w:rsidP="00CE42F2">
      <w:pPr>
        <w:pStyle w:val="BodyText"/>
        <w:widowControl/>
        <w:numPr>
          <w:ilvl w:val="1"/>
          <w:numId w:val="7"/>
        </w:numPr>
        <w:tabs>
          <w:tab w:val="left" w:pos="1414"/>
        </w:tabs>
        <w:spacing w:line="300" w:lineRule="atLeast"/>
        <w:rPr>
          <w:color w:val="000000"/>
          <w:sz w:val="20"/>
        </w:rPr>
      </w:pPr>
      <w:r>
        <w:rPr>
          <w:color w:val="000000"/>
          <w:sz w:val="20"/>
        </w:rPr>
        <w:t>Develop tools that assist those aggregating the data to understand the relationships and equivalences of the vocabulary values in terms of the overall concepts. Develop cross-walks and relationships between them.</w:t>
      </w:r>
    </w:p>
    <w:p w:rsidR="00CE42F2" w:rsidRDefault="00CE42F2" w:rsidP="00CE42F2">
      <w:pPr>
        <w:pStyle w:val="BodyText"/>
        <w:widowControl/>
        <w:numPr>
          <w:ilvl w:val="1"/>
          <w:numId w:val="7"/>
        </w:numPr>
        <w:tabs>
          <w:tab w:val="left" w:pos="1414"/>
        </w:tabs>
        <w:spacing w:line="300" w:lineRule="atLeast"/>
        <w:rPr>
          <w:rStyle w:val="Strong"/>
        </w:rPr>
      </w:pPr>
      <w:r>
        <w:rPr>
          <w:color w:val="000000"/>
          <w:sz w:val="20"/>
        </w:rPr>
        <w:t>Provide data mapping back to individual standards</w:t>
      </w:r>
    </w:p>
    <w:p w:rsidR="00CE42F2" w:rsidRDefault="00CE42F2" w:rsidP="00CE42F2">
      <w:pPr>
        <w:pStyle w:val="BodyText"/>
        <w:keepNext/>
        <w:widowControl/>
        <w:numPr>
          <w:ilvl w:val="0"/>
          <w:numId w:val="7"/>
        </w:numPr>
        <w:tabs>
          <w:tab w:val="left" w:pos="707"/>
        </w:tabs>
        <w:spacing w:line="300" w:lineRule="atLeast"/>
      </w:pPr>
      <w:r>
        <w:rPr>
          <w:rStyle w:val="Strong"/>
          <w:color w:val="000000"/>
          <w:sz w:val="20"/>
        </w:rPr>
        <w:lastRenderedPageBreak/>
        <w:t>Define Data Quality Parameters and Tests</w:t>
      </w:r>
    </w:p>
    <w:p w:rsidR="00CE42F2" w:rsidRDefault="00CE42F2" w:rsidP="00CE42F2">
      <w:pPr>
        <w:pStyle w:val="BodyText"/>
        <w:widowControl/>
        <w:numPr>
          <w:ilvl w:val="1"/>
          <w:numId w:val="7"/>
        </w:numPr>
        <w:tabs>
          <w:tab w:val="left" w:pos="1414"/>
        </w:tabs>
        <w:spacing w:line="300" w:lineRule="atLeast"/>
        <w:rPr>
          <w:color w:val="000000"/>
          <w:sz w:val="20"/>
        </w:rPr>
      </w:pPr>
      <w:r>
        <w:rPr>
          <w:color w:val="000000"/>
          <w:sz w:val="20"/>
        </w:rPr>
        <w:t>Recommend using ISO 19115, ISO 19113, ISO 19138 and ISO 19157 and FGDC Content Standard for Digital Geospatial Metadata as base for these (all are very similar in describing the parameters of quality).</w:t>
      </w:r>
    </w:p>
    <w:p w:rsidR="00CE42F2" w:rsidRDefault="00CE42F2" w:rsidP="00CE42F2">
      <w:pPr>
        <w:pStyle w:val="BodyText"/>
        <w:widowControl/>
        <w:numPr>
          <w:ilvl w:val="1"/>
          <w:numId w:val="7"/>
        </w:numPr>
        <w:tabs>
          <w:tab w:val="left" w:pos="1414"/>
        </w:tabs>
        <w:spacing w:line="300" w:lineRule="atLeast"/>
        <w:rPr>
          <w:color w:val="000000"/>
          <w:sz w:val="20"/>
        </w:rPr>
      </w:pPr>
      <w:r>
        <w:rPr>
          <w:color w:val="000000"/>
          <w:sz w:val="20"/>
        </w:rPr>
        <w:t>Develop data tests for defined concepts in the model and elements in the vocabulary.</w:t>
      </w:r>
    </w:p>
    <w:p w:rsidR="00CE42F2" w:rsidRDefault="00CE42F2" w:rsidP="00CE42F2">
      <w:pPr>
        <w:pStyle w:val="BodyText"/>
        <w:widowControl/>
        <w:numPr>
          <w:ilvl w:val="2"/>
          <w:numId w:val="7"/>
        </w:numPr>
        <w:tabs>
          <w:tab w:val="left" w:pos="2121"/>
        </w:tabs>
        <w:spacing w:line="300" w:lineRule="atLeast"/>
        <w:rPr>
          <w:color w:val="000000"/>
          <w:sz w:val="20"/>
        </w:rPr>
      </w:pPr>
      <w:r>
        <w:rPr>
          <w:color w:val="000000"/>
          <w:sz w:val="20"/>
        </w:rPr>
        <w:t>Look at the tests provided in the FGDC Address Standard.</w:t>
      </w:r>
    </w:p>
    <w:p w:rsidR="00CE42F2" w:rsidRDefault="00CE42F2" w:rsidP="00CE42F2">
      <w:pPr>
        <w:pStyle w:val="BodyText"/>
        <w:widowControl/>
        <w:numPr>
          <w:ilvl w:val="2"/>
          <w:numId w:val="7"/>
        </w:numPr>
        <w:tabs>
          <w:tab w:val="left" w:pos="2121"/>
        </w:tabs>
        <w:spacing w:line="300" w:lineRule="atLeast"/>
        <w:rPr>
          <w:color w:val="000000"/>
          <w:sz w:val="20"/>
        </w:rPr>
      </w:pPr>
      <w:r>
        <w:rPr>
          <w:color w:val="000000"/>
          <w:sz w:val="20"/>
        </w:rPr>
        <w:t>Add additional tests to support defined elements that are not represented in FGDC</w:t>
      </w:r>
    </w:p>
    <w:p w:rsidR="00CE42F2" w:rsidRDefault="00CE42F2" w:rsidP="00CE42F2">
      <w:pPr>
        <w:pStyle w:val="BodyText"/>
        <w:widowControl/>
        <w:numPr>
          <w:ilvl w:val="2"/>
          <w:numId w:val="7"/>
        </w:numPr>
        <w:tabs>
          <w:tab w:val="left" w:pos="2121"/>
        </w:tabs>
        <w:spacing w:line="300" w:lineRule="atLeast"/>
        <w:rPr>
          <w:rStyle w:val="Strong"/>
        </w:rPr>
      </w:pPr>
      <w:r>
        <w:rPr>
          <w:color w:val="000000"/>
          <w:sz w:val="20"/>
        </w:rPr>
        <w:t>Quality tests can be adjusted/modified to support different elements or attributes. This is an area where the FGDC Standard goes well beyond the others in terms of specificity, and could be incorporated into the ISO Address Standard with modifications as needed to support the elements and attributes as described.</w:t>
      </w:r>
    </w:p>
    <w:p w:rsidR="00CE42F2" w:rsidRDefault="00CE42F2" w:rsidP="00CE42F2">
      <w:pPr>
        <w:pStyle w:val="BodyText"/>
        <w:widowControl/>
        <w:numPr>
          <w:ilvl w:val="0"/>
          <w:numId w:val="7"/>
        </w:numPr>
        <w:tabs>
          <w:tab w:val="left" w:pos="707"/>
        </w:tabs>
        <w:spacing w:line="300" w:lineRule="atLeast"/>
        <w:rPr>
          <w:rStyle w:val="Strong"/>
          <w:color w:val="000000"/>
          <w:sz w:val="20"/>
        </w:rPr>
      </w:pPr>
      <w:r>
        <w:rPr>
          <w:rStyle w:val="Strong"/>
          <w:color w:val="000000"/>
          <w:sz w:val="20"/>
        </w:rPr>
        <w:t>Define Address Reference Systems</w:t>
      </w:r>
    </w:p>
    <w:p w:rsidR="00CE42F2" w:rsidRDefault="00CE42F2" w:rsidP="00CE42F2">
      <w:pPr>
        <w:pStyle w:val="BodyText"/>
        <w:widowControl/>
        <w:numPr>
          <w:ilvl w:val="1"/>
          <w:numId w:val="7"/>
        </w:numPr>
        <w:tabs>
          <w:tab w:val="left" w:pos="1414"/>
        </w:tabs>
        <w:spacing w:line="300" w:lineRule="atLeast"/>
        <w:rPr>
          <w:rStyle w:val="Strong"/>
          <w:color w:val="000000"/>
          <w:sz w:val="20"/>
        </w:rPr>
      </w:pPr>
      <w:r>
        <w:rPr>
          <w:rStyle w:val="Strong"/>
          <w:color w:val="000000"/>
          <w:sz w:val="20"/>
        </w:rPr>
        <w:t>Address Reference Systems</w:t>
      </w:r>
      <w:r>
        <w:rPr>
          <w:color w:val="000000"/>
          <w:sz w:val="20"/>
        </w:rPr>
        <w:t> describe the rules that are used in assigning addresses. They do not mandate the address assignment process, but document how it is governed and regulated. This is useful in areas with existing addresses where new development and construction occurs, as it allows the Addressing Authority to determine what rules to follow in selecting an address for a new structure or feature. In an area without existing addresses, it may be created to be used as a template for assignment. The second, and equally important, function of an Address Reference System is in the Quality Control process. By stating rules for addresses clearly, any existing or proposed address can be tested for conformance with the rules.</w:t>
      </w:r>
    </w:p>
    <w:p w:rsidR="00CE42F2" w:rsidRDefault="00CE42F2" w:rsidP="00CE42F2">
      <w:pPr>
        <w:pStyle w:val="BodyText"/>
        <w:widowControl/>
        <w:numPr>
          <w:ilvl w:val="1"/>
          <w:numId w:val="7"/>
        </w:numPr>
        <w:tabs>
          <w:tab w:val="left" w:pos="1414"/>
        </w:tabs>
        <w:spacing w:line="300" w:lineRule="atLeast"/>
      </w:pPr>
      <w:r>
        <w:rPr>
          <w:rStyle w:val="Strong"/>
          <w:color w:val="000000"/>
          <w:sz w:val="20"/>
        </w:rPr>
        <w:t>Address Reference Systems</w:t>
      </w:r>
      <w:r>
        <w:rPr>
          <w:color w:val="000000"/>
          <w:sz w:val="20"/>
        </w:rPr>
        <w:t> should not be considered as an "addressing manual" which dictates how various areas should assign addresses or street names. As stated earlier, the creation of an address system is a local matter, dictated by cultural, geographic and other factors which are unique to a specific area. While there are many systems that have similar components (see the descriptions of the major types of Address Reference Systems in the FGDC Address Standard), no two are exactly the same. The ARS documents the specific local rules so that they may be interpreted in a best practices addressing manual, and used for quality control processes.</w:t>
      </w:r>
    </w:p>
    <w:p w:rsidR="00CE42F2" w:rsidRDefault="00CE42F2" w:rsidP="00CE42F2">
      <w:pPr>
        <w:pStyle w:val="BodyText"/>
        <w:widowControl/>
        <w:numPr>
          <w:ilvl w:val="1"/>
          <w:numId w:val="7"/>
        </w:numPr>
        <w:tabs>
          <w:tab w:val="left" w:pos="1414"/>
        </w:tabs>
        <w:spacing w:line="300" w:lineRule="atLeast"/>
        <w:rPr>
          <w:rStyle w:val="Strong"/>
        </w:rPr>
      </w:pPr>
      <w:r>
        <w:rPr>
          <w:color w:val="000000"/>
          <w:sz w:val="20"/>
        </w:rPr>
        <w:t>We would recommend that ISO-19160-2 be dropped as a part of this standard for the reasons outlined above.</w:t>
      </w:r>
    </w:p>
    <w:p w:rsidR="00CE42F2" w:rsidRDefault="00CE42F2" w:rsidP="00CE42F2">
      <w:pPr>
        <w:pStyle w:val="BodyText"/>
        <w:widowControl/>
        <w:numPr>
          <w:ilvl w:val="0"/>
          <w:numId w:val="7"/>
        </w:numPr>
        <w:tabs>
          <w:tab w:val="left" w:pos="707"/>
        </w:tabs>
        <w:spacing w:line="300" w:lineRule="atLeast"/>
      </w:pPr>
      <w:r>
        <w:rPr>
          <w:rStyle w:val="Strong"/>
          <w:color w:val="000000"/>
          <w:sz w:val="20"/>
        </w:rPr>
        <w:t>Determine how the "addressable object" will be managed in the Standard.</w:t>
      </w:r>
    </w:p>
    <w:p w:rsidR="00CE42F2" w:rsidRDefault="00CE42F2" w:rsidP="00CE42F2">
      <w:pPr>
        <w:pStyle w:val="BodyText"/>
        <w:widowControl/>
        <w:numPr>
          <w:ilvl w:val="1"/>
          <w:numId w:val="7"/>
        </w:numPr>
        <w:tabs>
          <w:tab w:val="left" w:pos="1414"/>
        </w:tabs>
        <w:spacing w:line="300" w:lineRule="atLeast"/>
        <w:rPr>
          <w:color w:val="630000"/>
          <w:sz w:val="30"/>
        </w:rPr>
      </w:pPr>
      <w:r>
        <w:rPr>
          <w:color w:val="000000"/>
          <w:sz w:val="20"/>
        </w:rPr>
        <w:t>Based on the most recent notes, it appears that the addressable object has been made an optional element rather than a mandatory one. The matter should be clearly determined, as the overall logic of the entire data model depends on whether the central element is the addressable object, or the address itself. We would support the position that the address itself is the entity.</w:t>
      </w:r>
    </w:p>
    <w:p w:rsidR="00CE42F2" w:rsidRDefault="00CE42F2" w:rsidP="00CE42F2">
      <w:pPr>
        <w:pStyle w:val="Heading2"/>
        <w:widowControl/>
        <w:numPr>
          <w:ilvl w:val="1"/>
          <w:numId w:val="1"/>
        </w:numPr>
        <w:pBdr>
          <w:bottom w:val="single" w:sz="6" w:space="1" w:color="FFFFFF"/>
        </w:pBdr>
        <w:shd w:val="clear" w:color="auto" w:fill="F6F6F6"/>
        <w:ind w:left="0" w:firstLine="0"/>
        <w:rPr>
          <w:rFonts w:ascii="Arial" w:hAnsi="Arial"/>
          <w:b w:val="0"/>
          <w:color w:val="000000"/>
          <w:sz w:val="20"/>
        </w:rPr>
      </w:pPr>
      <w:bookmarkStart w:id="8" w:name="Other_Comments"/>
      <w:bookmarkEnd w:id="8"/>
      <w:r>
        <w:rPr>
          <w:rFonts w:ascii="Arial" w:hAnsi="Arial"/>
          <w:b w:val="0"/>
          <w:color w:val="630000"/>
          <w:sz w:val="30"/>
        </w:rPr>
        <w:lastRenderedPageBreak/>
        <w:t>Other Comments</w:t>
      </w:r>
    </w:p>
    <w:p w:rsidR="00CE42F2" w:rsidRDefault="00CE42F2" w:rsidP="00CE42F2">
      <w:pPr>
        <w:pStyle w:val="BodyText"/>
        <w:widowControl/>
        <w:numPr>
          <w:ilvl w:val="0"/>
          <w:numId w:val="8"/>
        </w:numPr>
        <w:tabs>
          <w:tab w:val="left" w:pos="707"/>
        </w:tabs>
        <w:spacing w:line="300" w:lineRule="atLeast"/>
        <w:rPr>
          <w:color w:val="000000"/>
          <w:sz w:val="20"/>
        </w:rPr>
      </w:pPr>
      <w:r>
        <w:rPr>
          <w:color w:val="000000"/>
          <w:sz w:val="20"/>
        </w:rPr>
        <w:t>It appears from the way the ontology/data model is expressed that every element defined would have a separate identifier, and be versioned. While this might be useful, it also creates a huge overhead, and one which we think would be virtually impossible to maintain or enforce. This will be especially true if elements are defined to support the address components at any significant level of detail.</w:t>
      </w:r>
    </w:p>
    <w:p w:rsidR="00CE42F2" w:rsidRDefault="00CE42F2" w:rsidP="00CE42F2">
      <w:pPr>
        <w:pStyle w:val="BodyText"/>
        <w:widowControl/>
        <w:numPr>
          <w:ilvl w:val="1"/>
          <w:numId w:val="8"/>
        </w:numPr>
        <w:tabs>
          <w:tab w:val="left" w:pos="1414"/>
        </w:tabs>
        <w:spacing w:line="300" w:lineRule="atLeast"/>
        <w:rPr>
          <w:color w:val="000000"/>
          <w:sz w:val="20"/>
        </w:rPr>
      </w:pPr>
      <w:r>
        <w:rPr>
          <w:color w:val="000000"/>
          <w:sz w:val="20"/>
        </w:rPr>
        <w:t>Support of data lineage requires that updates be tracked through the system, and the connectivity between a new address (or one with significant modifications to its elements) and an older one needs to be maintained. This needs to be pretty straightforward and simply accomplished in the data maintenance process as many local Authorities will not have sophisticated personnel nor database software that can manage a complex data versioning scheme.</w:t>
      </w:r>
    </w:p>
    <w:p w:rsidR="00CE42F2" w:rsidRDefault="00CE42F2" w:rsidP="00CE42F2">
      <w:pPr>
        <w:pStyle w:val="BodyText"/>
        <w:widowControl/>
        <w:numPr>
          <w:ilvl w:val="0"/>
          <w:numId w:val="8"/>
        </w:numPr>
        <w:tabs>
          <w:tab w:val="left" w:pos="707"/>
        </w:tabs>
        <w:spacing w:line="300" w:lineRule="atLeast"/>
        <w:rPr>
          <w:color w:val="000000"/>
          <w:sz w:val="20"/>
        </w:rPr>
      </w:pPr>
      <w:r>
        <w:rPr>
          <w:color w:val="000000"/>
          <w:sz w:val="20"/>
        </w:rPr>
        <w:t>We are prepared to offer a set of elements, classes, and constructs as a beginning point for discussion of a vocabulary that supports the conceptual ontology model. Our belief, based in part on the UPU work and other standards, and in part on informal observation, is that most addresses are composed from a limited set of simple elements, which are combined into complex elements, which are ordered by different syntaxes into complete addresses. If the elements are common across countries and languages, then syntaxes can be constructed flexibly as needed.</w:t>
      </w:r>
    </w:p>
    <w:p w:rsidR="00CE42F2" w:rsidRDefault="00CE42F2" w:rsidP="00CE42F2">
      <w:pPr>
        <w:pStyle w:val="BodyText"/>
        <w:widowControl/>
        <w:numPr>
          <w:ilvl w:val="0"/>
          <w:numId w:val="8"/>
        </w:numPr>
        <w:tabs>
          <w:tab w:val="left" w:pos="707"/>
        </w:tabs>
        <w:spacing w:line="300" w:lineRule="atLeast"/>
      </w:pPr>
      <w:r>
        <w:rPr>
          <w:color w:val="000000"/>
          <w:sz w:val="20"/>
        </w:rPr>
        <w:t>We are also prepared to develop an ontology for US address data that can be used to demonstrate how this conceptual model works, and to how the FGDC Standard would need to be approached to move data using the ontology model. We are working on the conceptual basis for an ontology based on the materials provided by ISO. It is included below.)</w:t>
      </w:r>
    </w:p>
    <w:p w:rsidR="00CE42F2" w:rsidRDefault="00CE42F2" w:rsidP="00CE42F2"/>
    <w:p w:rsidR="003327D5" w:rsidRDefault="00CE42F2">
      <w:bookmarkStart w:id="9" w:name="_GoBack"/>
      <w:bookmarkEnd w:id="9"/>
    </w:p>
    <w:sectPr w:rsidR="003327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2F2" w:rsidRDefault="00CE42F2" w:rsidP="00CE42F2">
      <w:r>
        <w:separator/>
      </w:r>
    </w:p>
  </w:endnote>
  <w:endnote w:type="continuationSeparator" w:id="0">
    <w:p w:rsidR="00CE42F2" w:rsidRDefault="00CE42F2" w:rsidP="00CE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OpenSymbol">
    <w:altName w:val="Arial Unicode MS"/>
    <w:charset w:val="80"/>
    <w:family w:val="auto"/>
    <w:pitch w:val="default"/>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AR PL UMing HK">
    <w:altName w:val="Arial Unicode MS"/>
    <w:charset w:val="80"/>
    <w:family w:val="auto"/>
    <w:pitch w:val="variable"/>
  </w:font>
  <w:font w:name="Lohit Hindi">
    <w:altName w:val="Arial Unicode MS"/>
    <w:charset w:val="8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2F2" w:rsidRDefault="00CE42F2" w:rsidP="00CE42F2">
      <w:r>
        <w:separator/>
      </w:r>
    </w:p>
  </w:footnote>
  <w:footnote w:type="continuationSeparator" w:id="0">
    <w:p w:rsidR="00CE42F2" w:rsidRDefault="00CE42F2" w:rsidP="00CE42F2">
      <w:r>
        <w:continuationSeparator/>
      </w:r>
    </w:p>
  </w:footnote>
  <w:footnote w:id="1">
    <w:p w:rsidR="00CE42F2" w:rsidRDefault="00CE42F2" w:rsidP="00CE42F2">
      <w:pPr>
        <w:pStyle w:val="BodyText"/>
        <w:widowControl/>
        <w:spacing w:line="300" w:lineRule="atLeast"/>
      </w:pPr>
      <w:r>
        <w:rPr>
          <w:rStyle w:val="FootnoteCharacters"/>
        </w:rPr>
        <w:footnoteRef/>
      </w:r>
      <w:r>
        <w:rPr>
          <w:color w:val="000000"/>
          <w:sz w:val="20"/>
        </w:rPr>
        <w:tab/>
        <w:t xml:space="preserve"> See www.data.gov/communities/node/116/blogs/39331 for an article on the Open Government Directive, as being put into practice at EPA.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suff w:val="nothing"/>
      <w:lvlText w:val=""/>
      <w:lvlJc w:val="left"/>
      <w:pPr>
        <w:tabs>
          <w:tab w:val="num" w:pos="707"/>
        </w:tabs>
        <w:ind w:left="707" w:firstLine="0"/>
      </w:pPr>
      <w:rPr>
        <w:rFonts w:ascii="Symbol" w:hAnsi="Symbol" w:cs="OpenSymbol"/>
      </w:rPr>
    </w:lvl>
    <w:lvl w:ilvl="1">
      <w:start w:val="1"/>
      <w:numFmt w:val="bullet"/>
      <w:suff w:val="nothing"/>
      <w:lvlText w:val=""/>
      <w:lvlJc w:val="left"/>
      <w:pPr>
        <w:tabs>
          <w:tab w:val="num" w:pos="1414"/>
        </w:tabs>
        <w:ind w:left="1414" w:firstLine="0"/>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nsid w:val="00000002"/>
    <w:multiLevelType w:val="multilevel"/>
    <w:tmpl w:val="00000002"/>
    <w:lvl w:ilvl="0">
      <w:start w:val="1"/>
      <w:numFmt w:val="bullet"/>
      <w:suff w:val="nothing"/>
      <w:lvlText w:val=""/>
      <w:lvlJc w:val="left"/>
      <w:pPr>
        <w:tabs>
          <w:tab w:val="num" w:pos="707"/>
        </w:tabs>
        <w:ind w:left="707"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nsid w:val="00000003"/>
    <w:multiLevelType w:val="multilevel"/>
    <w:tmpl w:val="00000003"/>
    <w:lvl w:ilvl="0">
      <w:start w:val="1"/>
      <w:numFmt w:val="bullet"/>
      <w:suff w:val="nothing"/>
      <w:lvlText w:val=""/>
      <w:lvlJc w:val="left"/>
      <w:pPr>
        <w:tabs>
          <w:tab w:val="num" w:pos="707"/>
        </w:tabs>
        <w:ind w:left="707" w:firstLine="0"/>
      </w:pPr>
      <w:rPr>
        <w:rFonts w:ascii="Symbol" w:hAnsi="Symbol" w:cs="OpenSymbol"/>
      </w:rPr>
    </w:lvl>
    <w:lvl w:ilvl="1">
      <w:start w:val="1"/>
      <w:numFmt w:val="bullet"/>
      <w:suff w:val="nothing"/>
      <w:lvlText w:val=""/>
      <w:lvlJc w:val="left"/>
      <w:pPr>
        <w:tabs>
          <w:tab w:val="num" w:pos="1414"/>
        </w:tabs>
        <w:ind w:left="1414" w:firstLine="0"/>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nsid w:val="00000004"/>
    <w:multiLevelType w:val="multilevel"/>
    <w:tmpl w:val="00000004"/>
    <w:lvl w:ilvl="0">
      <w:start w:val="1"/>
      <w:numFmt w:val="bullet"/>
      <w:suff w:val="nothing"/>
      <w:lvlText w:val=""/>
      <w:lvlJc w:val="left"/>
      <w:pPr>
        <w:tabs>
          <w:tab w:val="num" w:pos="707"/>
        </w:tabs>
        <w:ind w:left="707" w:firstLine="0"/>
      </w:pPr>
      <w:rPr>
        <w:rFonts w:ascii="Symbol" w:hAnsi="Symbol" w:cs="OpenSymbol"/>
      </w:rPr>
    </w:lvl>
    <w:lvl w:ilvl="1">
      <w:start w:val="1"/>
      <w:numFmt w:val="bullet"/>
      <w:suff w:val="nothing"/>
      <w:lvlText w:val=""/>
      <w:lvlJc w:val="left"/>
      <w:pPr>
        <w:tabs>
          <w:tab w:val="num" w:pos="1414"/>
        </w:tabs>
        <w:ind w:left="1414" w:firstLine="0"/>
      </w:pPr>
      <w:rPr>
        <w:rFonts w:ascii="Symbol" w:hAnsi="Symbol" w:cs="OpenSymbol"/>
      </w:rPr>
    </w:lvl>
    <w:lvl w:ilvl="2">
      <w:start w:val="1"/>
      <w:numFmt w:val="bullet"/>
      <w:suff w:val="nothing"/>
      <w:lvlText w:val=""/>
      <w:lvlJc w:val="left"/>
      <w:pPr>
        <w:tabs>
          <w:tab w:val="num" w:pos="2121"/>
        </w:tabs>
        <w:ind w:left="2121" w:firstLine="0"/>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nsid w:val="00000005"/>
    <w:multiLevelType w:val="multilevel"/>
    <w:tmpl w:val="00000005"/>
    <w:lvl w:ilvl="0">
      <w:start w:val="1"/>
      <w:numFmt w:val="bullet"/>
      <w:suff w:val="nothing"/>
      <w:lvlText w:val=""/>
      <w:lvlJc w:val="left"/>
      <w:pPr>
        <w:tabs>
          <w:tab w:val="num" w:pos="707"/>
        </w:tabs>
        <w:ind w:left="707" w:firstLine="0"/>
      </w:pPr>
      <w:rPr>
        <w:rFonts w:ascii="Symbol" w:hAnsi="Symbol" w:cs="OpenSymbol"/>
      </w:rPr>
    </w:lvl>
    <w:lvl w:ilvl="1">
      <w:start w:val="1"/>
      <w:numFmt w:val="bullet"/>
      <w:suff w:val="nothing"/>
      <w:lvlText w:val=""/>
      <w:lvlJc w:val="left"/>
      <w:pPr>
        <w:tabs>
          <w:tab w:val="num" w:pos="1414"/>
        </w:tabs>
        <w:ind w:left="1414" w:firstLine="0"/>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nsid w:val="00000006"/>
    <w:multiLevelType w:val="multilevel"/>
    <w:tmpl w:val="00000006"/>
    <w:lvl w:ilvl="0">
      <w:start w:val="1"/>
      <w:numFmt w:val="bullet"/>
      <w:suff w:val="nothing"/>
      <w:lvlText w:val=""/>
      <w:lvlJc w:val="left"/>
      <w:pPr>
        <w:tabs>
          <w:tab w:val="num" w:pos="707"/>
        </w:tabs>
        <w:ind w:left="707" w:firstLine="0"/>
      </w:pPr>
      <w:rPr>
        <w:rFonts w:ascii="Symbol" w:hAnsi="Symbol" w:cs="OpenSymbol"/>
      </w:rPr>
    </w:lvl>
    <w:lvl w:ilvl="1">
      <w:start w:val="1"/>
      <w:numFmt w:val="bullet"/>
      <w:suff w:val="nothing"/>
      <w:lvlText w:val=""/>
      <w:lvlJc w:val="left"/>
      <w:pPr>
        <w:tabs>
          <w:tab w:val="num" w:pos="1414"/>
        </w:tabs>
        <w:ind w:left="1414" w:firstLine="0"/>
      </w:pPr>
      <w:rPr>
        <w:rFonts w:ascii="Symbol" w:hAnsi="Symbol" w:cs="OpenSymbol"/>
      </w:rPr>
    </w:lvl>
    <w:lvl w:ilvl="2">
      <w:start w:val="1"/>
      <w:numFmt w:val="bullet"/>
      <w:suff w:val="nothing"/>
      <w:lvlText w:val=""/>
      <w:lvlJc w:val="left"/>
      <w:pPr>
        <w:tabs>
          <w:tab w:val="num" w:pos="2121"/>
        </w:tabs>
        <w:ind w:left="2121" w:firstLine="0"/>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nsid w:val="00000007"/>
    <w:multiLevelType w:val="multilevel"/>
    <w:tmpl w:val="00000007"/>
    <w:lvl w:ilvl="0">
      <w:start w:val="1"/>
      <w:numFmt w:val="bullet"/>
      <w:suff w:val="nothing"/>
      <w:lvlText w:val=""/>
      <w:lvlJc w:val="left"/>
      <w:pPr>
        <w:tabs>
          <w:tab w:val="num" w:pos="707"/>
        </w:tabs>
        <w:ind w:left="707" w:firstLine="0"/>
      </w:pPr>
      <w:rPr>
        <w:rFonts w:ascii="Symbol" w:hAnsi="Symbol" w:cs="OpenSymbol"/>
      </w:rPr>
    </w:lvl>
    <w:lvl w:ilvl="1">
      <w:start w:val="1"/>
      <w:numFmt w:val="bullet"/>
      <w:suff w:val="nothing"/>
      <w:lvlText w:val=""/>
      <w:lvlJc w:val="left"/>
      <w:pPr>
        <w:tabs>
          <w:tab w:val="num" w:pos="1414"/>
        </w:tabs>
        <w:ind w:left="1414" w:firstLine="0"/>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2F2"/>
    <w:rsid w:val="003B061F"/>
    <w:rsid w:val="007E4FBF"/>
    <w:rsid w:val="00CE4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2F2"/>
    <w:pPr>
      <w:widowControl w:val="0"/>
      <w:suppressAutoHyphens/>
      <w:spacing w:after="0" w:line="240" w:lineRule="auto"/>
    </w:pPr>
    <w:rPr>
      <w:rFonts w:ascii="Arial" w:eastAsia="AR PL UMing HK" w:hAnsi="Arial" w:cs="Lohit Hindi"/>
      <w:kern w:val="2"/>
      <w:sz w:val="24"/>
      <w:szCs w:val="24"/>
      <w:lang w:eastAsia="zh-CN" w:bidi="hi-IN"/>
    </w:rPr>
  </w:style>
  <w:style w:type="paragraph" w:styleId="Heading1">
    <w:name w:val="heading 1"/>
    <w:basedOn w:val="Normal"/>
    <w:next w:val="BodyText"/>
    <w:link w:val="Heading1Char"/>
    <w:qFormat/>
    <w:rsid w:val="00CE42F2"/>
    <w:pPr>
      <w:keepNext/>
      <w:numPr>
        <w:numId w:val="2"/>
      </w:numPr>
      <w:spacing w:before="240" w:after="120"/>
      <w:outlineLvl w:val="0"/>
    </w:pPr>
    <w:rPr>
      <w:rFonts w:ascii="Times New Roman" w:hAnsi="Times New Roman"/>
      <w:b/>
      <w:bCs/>
      <w:sz w:val="48"/>
      <w:szCs w:val="48"/>
    </w:rPr>
  </w:style>
  <w:style w:type="paragraph" w:styleId="Heading2">
    <w:name w:val="heading 2"/>
    <w:basedOn w:val="Normal"/>
    <w:next w:val="BodyText"/>
    <w:link w:val="Heading2Char"/>
    <w:semiHidden/>
    <w:unhideWhenUsed/>
    <w:qFormat/>
    <w:rsid w:val="00CE42F2"/>
    <w:pPr>
      <w:keepNext/>
      <w:numPr>
        <w:ilvl w:val="1"/>
        <w:numId w:val="2"/>
      </w:numPr>
      <w:spacing w:before="240" w:after="120"/>
      <w:outlineLvl w:val="1"/>
    </w:pPr>
    <w:rPr>
      <w:rFonts w:ascii="Times New Roman" w:hAnsi="Times New Roman"/>
      <w:b/>
      <w:bCs/>
      <w:sz w:val="36"/>
      <w:szCs w:val="36"/>
    </w:rPr>
  </w:style>
  <w:style w:type="paragraph" w:styleId="Heading3">
    <w:name w:val="heading 3"/>
    <w:basedOn w:val="Normal"/>
    <w:next w:val="BodyText"/>
    <w:link w:val="Heading3Char"/>
    <w:semiHidden/>
    <w:unhideWhenUsed/>
    <w:qFormat/>
    <w:rsid w:val="00CE42F2"/>
    <w:pPr>
      <w:keepNext/>
      <w:numPr>
        <w:ilvl w:val="2"/>
        <w:numId w:val="2"/>
      </w:numPr>
      <w:spacing w:before="240" w:after="120"/>
      <w:outlineLvl w:val="2"/>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42F2"/>
    <w:rPr>
      <w:rFonts w:ascii="Times New Roman" w:eastAsia="AR PL UMing HK" w:hAnsi="Times New Roman" w:cs="Lohit Hindi"/>
      <w:b/>
      <w:bCs/>
      <w:kern w:val="2"/>
      <w:sz w:val="48"/>
      <w:szCs w:val="48"/>
      <w:lang w:eastAsia="zh-CN" w:bidi="hi-IN"/>
    </w:rPr>
  </w:style>
  <w:style w:type="character" w:customStyle="1" w:styleId="Heading2Char">
    <w:name w:val="Heading 2 Char"/>
    <w:basedOn w:val="DefaultParagraphFont"/>
    <w:link w:val="Heading2"/>
    <w:semiHidden/>
    <w:rsid w:val="00CE42F2"/>
    <w:rPr>
      <w:rFonts w:ascii="Times New Roman" w:eastAsia="AR PL UMing HK" w:hAnsi="Times New Roman" w:cs="Lohit Hindi"/>
      <w:b/>
      <w:bCs/>
      <w:kern w:val="2"/>
      <w:sz w:val="36"/>
      <w:szCs w:val="36"/>
      <w:lang w:eastAsia="zh-CN" w:bidi="hi-IN"/>
    </w:rPr>
  </w:style>
  <w:style w:type="character" w:customStyle="1" w:styleId="Heading3Char">
    <w:name w:val="Heading 3 Char"/>
    <w:basedOn w:val="DefaultParagraphFont"/>
    <w:link w:val="Heading3"/>
    <w:semiHidden/>
    <w:rsid w:val="00CE42F2"/>
    <w:rPr>
      <w:rFonts w:ascii="Times New Roman" w:eastAsia="AR PL UMing HK" w:hAnsi="Times New Roman" w:cs="Lohit Hindi"/>
      <w:b/>
      <w:bCs/>
      <w:kern w:val="2"/>
      <w:sz w:val="28"/>
      <w:szCs w:val="28"/>
      <w:lang w:eastAsia="zh-CN" w:bidi="hi-IN"/>
    </w:rPr>
  </w:style>
  <w:style w:type="character" w:styleId="Hyperlink">
    <w:name w:val="Hyperlink"/>
    <w:basedOn w:val="DefaultParagraphFont"/>
    <w:uiPriority w:val="99"/>
    <w:semiHidden/>
    <w:unhideWhenUsed/>
    <w:rsid w:val="00CE42F2"/>
    <w:rPr>
      <w:color w:val="0000FF" w:themeColor="hyperlink"/>
      <w:u w:val="single"/>
    </w:rPr>
  </w:style>
  <w:style w:type="paragraph" w:styleId="BodyText">
    <w:name w:val="Body Text"/>
    <w:basedOn w:val="Normal"/>
    <w:link w:val="BodyTextChar"/>
    <w:semiHidden/>
    <w:unhideWhenUsed/>
    <w:rsid w:val="00CE42F2"/>
    <w:pPr>
      <w:spacing w:after="120"/>
    </w:pPr>
  </w:style>
  <w:style w:type="character" w:customStyle="1" w:styleId="BodyTextChar">
    <w:name w:val="Body Text Char"/>
    <w:basedOn w:val="DefaultParagraphFont"/>
    <w:link w:val="BodyText"/>
    <w:semiHidden/>
    <w:rsid w:val="00CE42F2"/>
    <w:rPr>
      <w:rFonts w:ascii="Arial" w:eastAsia="AR PL UMing HK" w:hAnsi="Arial" w:cs="Lohit Hindi"/>
      <w:kern w:val="2"/>
      <w:sz w:val="24"/>
      <w:szCs w:val="24"/>
      <w:lang w:eastAsia="zh-CN" w:bidi="hi-IN"/>
    </w:rPr>
  </w:style>
  <w:style w:type="character" w:styleId="FootnoteReference">
    <w:name w:val="footnote reference"/>
    <w:semiHidden/>
    <w:unhideWhenUsed/>
    <w:rsid w:val="00CE42F2"/>
    <w:rPr>
      <w:vertAlign w:val="superscript"/>
    </w:rPr>
  </w:style>
  <w:style w:type="character" w:customStyle="1" w:styleId="FootnoteCharacters">
    <w:name w:val="Footnote Characters"/>
    <w:rsid w:val="00CE42F2"/>
  </w:style>
  <w:style w:type="character" w:styleId="Strong">
    <w:name w:val="Strong"/>
    <w:basedOn w:val="DefaultParagraphFont"/>
    <w:qFormat/>
    <w:rsid w:val="00CE42F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2F2"/>
    <w:pPr>
      <w:widowControl w:val="0"/>
      <w:suppressAutoHyphens/>
      <w:spacing w:after="0" w:line="240" w:lineRule="auto"/>
    </w:pPr>
    <w:rPr>
      <w:rFonts w:ascii="Arial" w:eastAsia="AR PL UMing HK" w:hAnsi="Arial" w:cs="Lohit Hindi"/>
      <w:kern w:val="2"/>
      <w:sz w:val="24"/>
      <w:szCs w:val="24"/>
      <w:lang w:eastAsia="zh-CN" w:bidi="hi-IN"/>
    </w:rPr>
  </w:style>
  <w:style w:type="paragraph" w:styleId="Heading1">
    <w:name w:val="heading 1"/>
    <w:basedOn w:val="Normal"/>
    <w:next w:val="BodyText"/>
    <w:link w:val="Heading1Char"/>
    <w:qFormat/>
    <w:rsid w:val="00CE42F2"/>
    <w:pPr>
      <w:keepNext/>
      <w:numPr>
        <w:numId w:val="2"/>
      </w:numPr>
      <w:spacing w:before="240" w:after="120"/>
      <w:outlineLvl w:val="0"/>
    </w:pPr>
    <w:rPr>
      <w:rFonts w:ascii="Times New Roman" w:hAnsi="Times New Roman"/>
      <w:b/>
      <w:bCs/>
      <w:sz w:val="48"/>
      <w:szCs w:val="48"/>
    </w:rPr>
  </w:style>
  <w:style w:type="paragraph" w:styleId="Heading2">
    <w:name w:val="heading 2"/>
    <w:basedOn w:val="Normal"/>
    <w:next w:val="BodyText"/>
    <w:link w:val="Heading2Char"/>
    <w:semiHidden/>
    <w:unhideWhenUsed/>
    <w:qFormat/>
    <w:rsid w:val="00CE42F2"/>
    <w:pPr>
      <w:keepNext/>
      <w:numPr>
        <w:ilvl w:val="1"/>
        <w:numId w:val="2"/>
      </w:numPr>
      <w:spacing w:before="240" w:after="120"/>
      <w:outlineLvl w:val="1"/>
    </w:pPr>
    <w:rPr>
      <w:rFonts w:ascii="Times New Roman" w:hAnsi="Times New Roman"/>
      <w:b/>
      <w:bCs/>
      <w:sz w:val="36"/>
      <w:szCs w:val="36"/>
    </w:rPr>
  </w:style>
  <w:style w:type="paragraph" w:styleId="Heading3">
    <w:name w:val="heading 3"/>
    <w:basedOn w:val="Normal"/>
    <w:next w:val="BodyText"/>
    <w:link w:val="Heading3Char"/>
    <w:semiHidden/>
    <w:unhideWhenUsed/>
    <w:qFormat/>
    <w:rsid w:val="00CE42F2"/>
    <w:pPr>
      <w:keepNext/>
      <w:numPr>
        <w:ilvl w:val="2"/>
        <w:numId w:val="2"/>
      </w:numPr>
      <w:spacing w:before="240" w:after="120"/>
      <w:outlineLvl w:val="2"/>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42F2"/>
    <w:rPr>
      <w:rFonts w:ascii="Times New Roman" w:eastAsia="AR PL UMing HK" w:hAnsi="Times New Roman" w:cs="Lohit Hindi"/>
      <w:b/>
      <w:bCs/>
      <w:kern w:val="2"/>
      <w:sz w:val="48"/>
      <w:szCs w:val="48"/>
      <w:lang w:eastAsia="zh-CN" w:bidi="hi-IN"/>
    </w:rPr>
  </w:style>
  <w:style w:type="character" w:customStyle="1" w:styleId="Heading2Char">
    <w:name w:val="Heading 2 Char"/>
    <w:basedOn w:val="DefaultParagraphFont"/>
    <w:link w:val="Heading2"/>
    <w:semiHidden/>
    <w:rsid w:val="00CE42F2"/>
    <w:rPr>
      <w:rFonts w:ascii="Times New Roman" w:eastAsia="AR PL UMing HK" w:hAnsi="Times New Roman" w:cs="Lohit Hindi"/>
      <w:b/>
      <w:bCs/>
      <w:kern w:val="2"/>
      <w:sz w:val="36"/>
      <w:szCs w:val="36"/>
      <w:lang w:eastAsia="zh-CN" w:bidi="hi-IN"/>
    </w:rPr>
  </w:style>
  <w:style w:type="character" w:customStyle="1" w:styleId="Heading3Char">
    <w:name w:val="Heading 3 Char"/>
    <w:basedOn w:val="DefaultParagraphFont"/>
    <w:link w:val="Heading3"/>
    <w:semiHidden/>
    <w:rsid w:val="00CE42F2"/>
    <w:rPr>
      <w:rFonts w:ascii="Times New Roman" w:eastAsia="AR PL UMing HK" w:hAnsi="Times New Roman" w:cs="Lohit Hindi"/>
      <w:b/>
      <w:bCs/>
      <w:kern w:val="2"/>
      <w:sz w:val="28"/>
      <w:szCs w:val="28"/>
      <w:lang w:eastAsia="zh-CN" w:bidi="hi-IN"/>
    </w:rPr>
  </w:style>
  <w:style w:type="character" w:styleId="Hyperlink">
    <w:name w:val="Hyperlink"/>
    <w:basedOn w:val="DefaultParagraphFont"/>
    <w:uiPriority w:val="99"/>
    <w:semiHidden/>
    <w:unhideWhenUsed/>
    <w:rsid w:val="00CE42F2"/>
    <w:rPr>
      <w:color w:val="0000FF" w:themeColor="hyperlink"/>
      <w:u w:val="single"/>
    </w:rPr>
  </w:style>
  <w:style w:type="paragraph" w:styleId="BodyText">
    <w:name w:val="Body Text"/>
    <w:basedOn w:val="Normal"/>
    <w:link w:val="BodyTextChar"/>
    <w:semiHidden/>
    <w:unhideWhenUsed/>
    <w:rsid w:val="00CE42F2"/>
    <w:pPr>
      <w:spacing w:after="120"/>
    </w:pPr>
  </w:style>
  <w:style w:type="character" w:customStyle="1" w:styleId="BodyTextChar">
    <w:name w:val="Body Text Char"/>
    <w:basedOn w:val="DefaultParagraphFont"/>
    <w:link w:val="BodyText"/>
    <w:semiHidden/>
    <w:rsid w:val="00CE42F2"/>
    <w:rPr>
      <w:rFonts w:ascii="Arial" w:eastAsia="AR PL UMing HK" w:hAnsi="Arial" w:cs="Lohit Hindi"/>
      <w:kern w:val="2"/>
      <w:sz w:val="24"/>
      <w:szCs w:val="24"/>
      <w:lang w:eastAsia="zh-CN" w:bidi="hi-IN"/>
    </w:rPr>
  </w:style>
  <w:style w:type="character" w:styleId="FootnoteReference">
    <w:name w:val="footnote reference"/>
    <w:semiHidden/>
    <w:unhideWhenUsed/>
    <w:rsid w:val="00CE42F2"/>
    <w:rPr>
      <w:vertAlign w:val="superscript"/>
    </w:rPr>
  </w:style>
  <w:style w:type="character" w:customStyle="1" w:styleId="FootnoteCharacters">
    <w:name w:val="Footnote Characters"/>
    <w:rsid w:val="00CE42F2"/>
  </w:style>
  <w:style w:type="character" w:styleId="Strong">
    <w:name w:val="Strong"/>
    <w:basedOn w:val="DefaultParagraphFont"/>
    <w:qFormat/>
    <w:rsid w:val="00CE42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eadow.spatialfocus.com/twiki/bin/view/Aswg/CommentsForDiscussio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A2D1569F.dotm</Template>
  <TotalTime>1</TotalTime>
  <Pages>6</Pages>
  <Words>2255</Words>
  <Characters>12857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1</cp:revision>
  <dcterms:created xsi:type="dcterms:W3CDTF">2012-09-20T16:46:00Z</dcterms:created>
  <dcterms:modified xsi:type="dcterms:W3CDTF">2012-09-20T16:47:00Z</dcterms:modified>
</cp:coreProperties>
</file>